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2DAEB" w14:textId="7968D711" w:rsidR="005D3395" w:rsidRDefault="00AB1312" w:rsidP="005D3395">
      <w:pPr>
        <w:pStyle w:val="Heading4"/>
        <w:pageBreakBefore/>
        <w:spacing w:after="240"/>
        <w:jc w:val="center"/>
      </w:pPr>
      <w:r w:rsidRPr="00FA54DB">
        <w:rPr>
          <w:szCs w:val="24"/>
        </w:rPr>
        <w:t>Annual Funding Notice</w:t>
      </w:r>
      <w:r w:rsidRPr="00FA54DB">
        <w:rPr>
          <w:szCs w:val="24"/>
        </w:rPr>
        <w:br/>
        <w:t>For</w:t>
      </w:r>
      <w:r w:rsidRPr="00FA54DB">
        <w:rPr>
          <w:szCs w:val="24"/>
        </w:rPr>
        <w:br/>
      </w:r>
      <w:bookmarkStart w:id="0" w:name="ARPS_1"/>
      <w:r w:rsidR="005D3395">
        <w:t>PanTeXas Deterrence Retirement Plan for Non-Bargaining Pantex Location Employees</w:t>
      </w:r>
      <w:bookmarkEnd w:id="0"/>
    </w:p>
    <w:p w14:paraId="76B7ED3D" w14:textId="77777777" w:rsidR="00791782" w:rsidRPr="009E232D" w:rsidRDefault="00791782" w:rsidP="00791782">
      <w:pPr>
        <w:pStyle w:val="Heading5"/>
      </w:pPr>
      <w:r w:rsidRPr="009E232D">
        <w:t xml:space="preserve">Introduction </w:t>
      </w:r>
    </w:p>
    <w:p w14:paraId="1153B33C" w14:textId="56B2F766" w:rsidR="00513881" w:rsidRDefault="00513881" w:rsidP="00513881">
      <w:pPr>
        <w:pStyle w:val="Heading5"/>
        <w:rPr>
          <w:rFonts w:eastAsia="MS Mincho"/>
          <w:b w:val="0"/>
          <w:iCs w:val="0"/>
          <w:szCs w:val="20"/>
        </w:rPr>
      </w:pPr>
      <w:r w:rsidRPr="00A55CDD">
        <w:rPr>
          <w:rFonts w:eastAsia="MS Mincho"/>
          <w:b w:val="0"/>
          <w:iCs w:val="0"/>
          <w:szCs w:val="20"/>
        </w:rPr>
        <w:t xml:space="preserve">This notice provides key details about your pension plan (the “Plan”) for the plan year beginning </w:t>
      </w:r>
      <w:r w:rsidR="005D3395">
        <w:rPr>
          <w:rFonts w:eastAsia="MS Mincho"/>
          <w:b w:val="0"/>
          <w:iCs w:val="0"/>
          <w:szCs w:val="20"/>
        </w:rPr>
        <w:t>January 1, 2024</w:t>
      </w:r>
      <w:r w:rsidRPr="00A55CDD">
        <w:rPr>
          <w:rFonts w:eastAsia="MS Mincho"/>
          <w:b w:val="0"/>
          <w:iCs w:val="0"/>
          <w:szCs w:val="20"/>
        </w:rPr>
        <w:t xml:space="preserve"> and ending </w:t>
      </w:r>
      <w:r w:rsidR="005D3395">
        <w:rPr>
          <w:rFonts w:eastAsia="MS Mincho"/>
          <w:b w:val="0"/>
          <w:iCs w:val="0"/>
          <w:szCs w:val="20"/>
        </w:rPr>
        <w:t>December 31, 2024</w:t>
      </w:r>
      <w:r w:rsidRPr="00A55CDD">
        <w:rPr>
          <w:rFonts w:eastAsia="MS Mincho"/>
          <w:b w:val="0"/>
          <w:iCs w:val="0"/>
          <w:szCs w:val="20"/>
        </w:rPr>
        <w:t xml:space="preserve"> (the “Plan Year”).</w:t>
      </w:r>
    </w:p>
    <w:p w14:paraId="3195E36B" w14:textId="77777777" w:rsidR="00513881" w:rsidRPr="00513881" w:rsidRDefault="00513881" w:rsidP="00A55CDD"/>
    <w:p w14:paraId="530FB127" w14:textId="77777777" w:rsidR="00513881" w:rsidRPr="00A55CDD" w:rsidRDefault="00513881" w:rsidP="00513881">
      <w:pPr>
        <w:pStyle w:val="Heading5"/>
        <w:rPr>
          <w:rFonts w:eastAsia="MS Mincho"/>
          <w:bCs/>
          <w:iCs w:val="0"/>
          <w:szCs w:val="20"/>
        </w:rPr>
      </w:pPr>
      <w:r w:rsidRPr="00A55CDD">
        <w:rPr>
          <w:rFonts w:eastAsia="MS Mincho"/>
          <w:bCs/>
          <w:iCs w:val="0"/>
          <w:szCs w:val="20"/>
        </w:rPr>
        <w:t>This is an informational notice. You do not need to respond or take any action.</w:t>
      </w:r>
    </w:p>
    <w:p w14:paraId="5C7BD40E" w14:textId="77777777" w:rsidR="00513881" w:rsidRPr="00513881" w:rsidRDefault="00513881" w:rsidP="00A55CDD"/>
    <w:p w14:paraId="1C0C1364" w14:textId="77777777" w:rsidR="00513881" w:rsidRPr="00A55CDD" w:rsidRDefault="00513881" w:rsidP="00513881">
      <w:pPr>
        <w:pStyle w:val="Heading5"/>
        <w:rPr>
          <w:rFonts w:eastAsia="MS Mincho"/>
          <w:b w:val="0"/>
          <w:iCs w:val="0"/>
          <w:szCs w:val="20"/>
        </w:rPr>
      </w:pPr>
      <w:r w:rsidRPr="00A55CDD">
        <w:rPr>
          <w:rFonts w:eastAsia="MS Mincho"/>
          <w:b w:val="0"/>
          <w:iCs w:val="0"/>
          <w:szCs w:val="20"/>
        </w:rPr>
        <w:t>This notice includes:</w:t>
      </w:r>
    </w:p>
    <w:p w14:paraId="16509E3A" w14:textId="77777777" w:rsidR="00513881" w:rsidRPr="00A55CDD" w:rsidRDefault="00513881" w:rsidP="00513881">
      <w:pPr>
        <w:pStyle w:val="Heading5"/>
        <w:numPr>
          <w:ilvl w:val="0"/>
          <w:numId w:val="10"/>
        </w:numPr>
        <w:rPr>
          <w:rFonts w:eastAsia="MS Mincho"/>
          <w:b w:val="0"/>
          <w:iCs w:val="0"/>
          <w:szCs w:val="20"/>
        </w:rPr>
      </w:pPr>
      <w:r w:rsidRPr="00A55CDD">
        <w:rPr>
          <w:rFonts w:eastAsia="MS Mincho"/>
          <w:b w:val="0"/>
          <w:iCs w:val="0"/>
          <w:szCs w:val="20"/>
        </w:rPr>
        <w:t>Information about your Plan’s funding status.</w:t>
      </w:r>
    </w:p>
    <w:p w14:paraId="2DD2C1B5" w14:textId="77777777" w:rsidR="00513881" w:rsidRPr="00A55CDD" w:rsidRDefault="00513881" w:rsidP="00513881">
      <w:pPr>
        <w:pStyle w:val="Heading5"/>
        <w:numPr>
          <w:ilvl w:val="0"/>
          <w:numId w:val="10"/>
        </w:numPr>
        <w:rPr>
          <w:rFonts w:eastAsia="MS Mincho"/>
          <w:b w:val="0"/>
          <w:iCs w:val="0"/>
          <w:szCs w:val="20"/>
        </w:rPr>
      </w:pPr>
      <w:r w:rsidRPr="00A55CDD">
        <w:rPr>
          <w:rFonts w:eastAsia="MS Mincho"/>
          <w:b w:val="0"/>
          <w:iCs w:val="0"/>
          <w:szCs w:val="20"/>
        </w:rPr>
        <w:t>Details on your benefit payments guaranteed by the Pension Benefit Guaranty Corporation (PBGC), a federal insurance agency.</w:t>
      </w:r>
    </w:p>
    <w:p w14:paraId="095DFDCC" w14:textId="72704991" w:rsidR="00513881" w:rsidRPr="00513881" w:rsidRDefault="00513881" w:rsidP="00513881">
      <w:pPr>
        <w:pStyle w:val="Heading5"/>
        <w:rPr>
          <w:bCs/>
        </w:rPr>
      </w:pPr>
      <w:r w:rsidRPr="00513881">
        <w:rPr>
          <w:bCs/>
        </w:rPr>
        <w:t>What if I have questions about this notice or my Plan?</w:t>
      </w:r>
    </w:p>
    <w:p w14:paraId="75DE21B2" w14:textId="77777777" w:rsidR="00513881" w:rsidRPr="00A55CDD" w:rsidRDefault="00513881" w:rsidP="00513881">
      <w:pPr>
        <w:pStyle w:val="Heading5"/>
        <w:rPr>
          <w:b w:val="0"/>
          <w:bCs/>
        </w:rPr>
      </w:pPr>
      <w:r w:rsidRPr="00A55CDD">
        <w:rPr>
          <w:b w:val="0"/>
          <w:bCs/>
        </w:rPr>
        <w:t>Contact your plan administrator at:</w:t>
      </w:r>
    </w:p>
    <w:p w14:paraId="6F2DEAD9" w14:textId="77777777" w:rsidR="005D3395" w:rsidRPr="005D3395" w:rsidRDefault="005D3395" w:rsidP="00513881">
      <w:pPr>
        <w:pStyle w:val="Heading5"/>
        <w:numPr>
          <w:ilvl w:val="0"/>
          <w:numId w:val="11"/>
        </w:numPr>
        <w:rPr>
          <w:rFonts w:eastAsia="MS Mincho"/>
          <w:b w:val="0"/>
          <w:iCs w:val="0"/>
          <w:szCs w:val="20"/>
        </w:rPr>
      </w:pPr>
      <w:bookmarkStart w:id="1" w:name="ARPS_3"/>
      <w:r>
        <w:t>Pantex Benefits office</w:t>
      </w:r>
      <w:bookmarkEnd w:id="1"/>
      <w:r>
        <w:t xml:space="preserve"> </w:t>
      </w:r>
    </w:p>
    <w:p w14:paraId="0246B99B" w14:textId="0E3A5725" w:rsidR="00513881" w:rsidRPr="00A55CDD" w:rsidRDefault="00513881" w:rsidP="00513881">
      <w:pPr>
        <w:pStyle w:val="Heading5"/>
        <w:numPr>
          <w:ilvl w:val="0"/>
          <w:numId w:val="11"/>
        </w:numPr>
        <w:rPr>
          <w:rFonts w:eastAsia="MS Mincho"/>
          <w:b w:val="0"/>
          <w:iCs w:val="0"/>
          <w:szCs w:val="20"/>
        </w:rPr>
      </w:pPr>
      <w:r w:rsidRPr="00A55CDD">
        <w:rPr>
          <w:rFonts w:eastAsia="MS Mincho"/>
          <w:bCs/>
          <w:iCs w:val="0"/>
          <w:szCs w:val="20"/>
        </w:rPr>
        <w:t>Phone</w:t>
      </w:r>
      <w:bookmarkStart w:id="2" w:name="ARPS_4"/>
      <w:r w:rsidR="005D3395">
        <w:t>+1-806-573-1100</w:t>
      </w:r>
      <w:bookmarkEnd w:id="2"/>
    </w:p>
    <w:p w14:paraId="6E4B3165" w14:textId="0A24D2F7" w:rsidR="00513881" w:rsidRPr="00A55CDD" w:rsidRDefault="00513881" w:rsidP="00513881">
      <w:pPr>
        <w:pStyle w:val="Heading5"/>
        <w:numPr>
          <w:ilvl w:val="0"/>
          <w:numId w:val="11"/>
        </w:numPr>
        <w:rPr>
          <w:rFonts w:eastAsia="MS Mincho"/>
          <w:b w:val="0"/>
          <w:iCs w:val="0"/>
          <w:szCs w:val="20"/>
        </w:rPr>
      </w:pPr>
      <w:r w:rsidRPr="00A55CDD">
        <w:rPr>
          <w:rFonts w:eastAsia="MS Mincho"/>
          <w:bCs/>
          <w:iCs w:val="0"/>
          <w:szCs w:val="20"/>
        </w:rPr>
        <w:t>Address</w:t>
      </w:r>
      <w:r w:rsidR="005D3395">
        <w:rPr>
          <w:rFonts w:eastAsia="MS Mincho"/>
          <w:bCs/>
          <w:iCs w:val="0"/>
          <w:szCs w:val="20"/>
        </w:rPr>
        <w:t xml:space="preserve">: </w:t>
      </w:r>
      <w:bookmarkStart w:id="3" w:name="ARPS_5"/>
      <w:r w:rsidR="005D3395">
        <w:t>Pantex Attn. Benefits</w:t>
      </w:r>
      <w:r w:rsidR="00B24B97">
        <w:t>,</w:t>
      </w:r>
      <w:r w:rsidR="005D3395">
        <w:t xml:space="preserve"> P.O. Box 30020 Amarillo, TX 79120-0020</w:t>
      </w:r>
      <w:bookmarkEnd w:id="3"/>
    </w:p>
    <w:p w14:paraId="55B2D179" w14:textId="2C7F636E" w:rsidR="00513881" w:rsidRPr="00A55CDD" w:rsidRDefault="00513881" w:rsidP="00513881">
      <w:pPr>
        <w:pStyle w:val="Heading5"/>
        <w:numPr>
          <w:ilvl w:val="0"/>
          <w:numId w:val="11"/>
        </w:numPr>
        <w:rPr>
          <w:rFonts w:eastAsia="MS Mincho"/>
          <w:b w:val="0"/>
          <w:iCs w:val="0"/>
          <w:szCs w:val="20"/>
        </w:rPr>
      </w:pPr>
      <w:r w:rsidRPr="00A55CDD">
        <w:rPr>
          <w:rFonts w:eastAsia="MS Mincho"/>
          <w:bCs/>
          <w:iCs w:val="0"/>
          <w:szCs w:val="20"/>
        </w:rPr>
        <w:t>Email:</w:t>
      </w:r>
      <w:r w:rsidRPr="00A55CDD">
        <w:rPr>
          <w:rFonts w:eastAsia="MS Mincho"/>
          <w:b w:val="0"/>
          <w:iCs w:val="0"/>
          <w:szCs w:val="20"/>
        </w:rPr>
        <w:t> </w:t>
      </w:r>
      <w:hyperlink r:id="rId11" w:tgtFrame="_blank" w:tooltip="mailto:pension@pantex.doe.gov" w:history="1">
        <w:r w:rsidR="005D3395">
          <w:rPr>
            <w:rStyle w:val="Hyperlink"/>
          </w:rPr>
          <w:t>pension@pantex.doe.gov</w:t>
        </w:r>
      </w:hyperlink>
    </w:p>
    <w:p w14:paraId="481B015F" w14:textId="4120DB4D" w:rsidR="00513881" w:rsidRPr="00A55CDD" w:rsidRDefault="00513881" w:rsidP="00513881">
      <w:pPr>
        <w:pStyle w:val="Heading5"/>
        <w:rPr>
          <w:b w:val="0"/>
          <w:bCs/>
        </w:rPr>
      </w:pPr>
      <w:r w:rsidRPr="00A55CDD">
        <w:rPr>
          <w:b w:val="0"/>
          <w:bCs/>
        </w:rPr>
        <w:t>To better assist you, provide your plan administrator with the following information when you contact them:</w:t>
      </w:r>
    </w:p>
    <w:p w14:paraId="4F10815D" w14:textId="5F5589B0" w:rsidR="00513881" w:rsidRPr="00A55CDD" w:rsidRDefault="00513881" w:rsidP="00513881">
      <w:pPr>
        <w:pStyle w:val="Heading5"/>
        <w:numPr>
          <w:ilvl w:val="0"/>
          <w:numId w:val="12"/>
        </w:numPr>
        <w:rPr>
          <w:rFonts w:eastAsia="MS Mincho"/>
          <w:b w:val="0"/>
          <w:iCs w:val="0"/>
          <w:szCs w:val="20"/>
        </w:rPr>
      </w:pPr>
      <w:r w:rsidRPr="00A55CDD">
        <w:rPr>
          <w:rFonts w:eastAsia="MS Mincho"/>
          <w:bCs/>
          <w:iCs w:val="0"/>
          <w:szCs w:val="20"/>
        </w:rPr>
        <w:t>Plan Number:</w:t>
      </w:r>
      <w:r w:rsidRPr="00A55CDD">
        <w:rPr>
          <w:rFonts w:eastAsia="MS Mincho"/>
          <w:b w:val="0"/>
          <w:iCs w:val="0"/>
          <w:szCs w:val="20"/>
        </w:rPr>
        <w:t> </w:t>
      </w:r>
      <w:r w:rsidR="005D3395">
        <w:rPr>
          <w:rFonts w:eastAsia="MS Mincho"/>
          <w:b w:val="0"/>
          <w:iCs w:val="0"/>
          <w:szCs w:val="20"/>
        </w:rPr>
        <w:t>010</w:t>
      </w:r>
    </w:p>
    <w:p w14:paraId="473F9D2F" w14:textId="29E8EDA4" w:rsidR="00513881" w:rsidRPr="00A55CDD" w:rsidRDefault="00513881" w:rsidP="00513881">
      <w:pPr>
        <w:pStyle w:val="Heading5"/>
        <w:numPr>
          <w:ilvl w:val="0"/>
          <w:numId w:val="12"/>
        </w:numPr>
        <w:rPr>
          <w:rFonts w:eastAsia="MS Mincho"/>
          <w:b w:val="0"/>
          <w:iCs w:val="0"/>
          <w:szCs w:val="20"/>
        </w:rPr>
      </w:pPr>
      <w:r w:rsidRPr="00A55CDD">
        <w:rPr>
          <w:rFonts w:eastAsia="MS Mincho"/>
          <w:bCs/>
          <w:iCs w:val="0"/>
          <w:szCs w:val="20"/>
        </w:rPr>
        <w:t>Plan Sponsor Name:</w:t>
      </w:r>
      <w:r w:rsidRPr="00A55CDD">
        <w:rPr>
          <w:rFonts w:eastAsia="MS Mincho"/>
          <w:b w:val="0"/>
          <w:iCs w:val="0"/>
          <w:szCs w:val="20"/>
        </w:rPr>
        <w:t> </w:t>
      </w:r>
      <w:r w:rsidR="005D3395">
        <w:rPr>
          <w:rFonts w:eastAsia="MS Mincho"/>
          <w:b w:val="0"/>
          <w:iCs w:val="0"/>
          <w:szCs w:val="20"/>
        </w:rPr>
        <w:t>PanTeXas Deterrence, LLC</w:t>
      </w:r>
    </w:p>
    <w:p w14:paraId="6E7DEA17" w14:textId="469A4995" w:rsidR="00513881" w:rsidRDefault="00513881" w:rsidP="00513881">
      <w:pPr>
        <w:pStyle w:val="Heading5"/>
        <w:numPr>
          <w:ilvl w:val="0"/>
          <w:numId w:val="12"/>
        </w:numPr>
        <w:rPr>
          <w:rFonts w:eastAsia="MS Mincho"/>
          <w:b w:val="0"/>
          <w:iCs w:val="0"/>
          <w:szCs w:val="20"/>
        </w:rPr>
      </w:pPr>
      <w:r w:rsidRPr="00A55CDD">
        <w:rPr>
          <w:rFonts w:eastAsia="MS Mincho"/>
          <w:bCs/>
          <w:iCs w:val="0"/>
          <w:szCs w:val="20"/>
        </w:rPr>
        <w:t>Employer Identification Number:</w:t>
      </w:r>
      <w:r w:rsidRPr="00A55CDD">
        <w:rPr>
          <w:rFonts w:eastAsia="MS Mincho"/>
          <w:b w:val="0"/>
          <w:iCs w:val="0"/>
          <w:szCs w:val="20"/>
        </w:rPr>
        <w:t> </w:t>
      </w:r>
      <w:r w:rsidR="005D3395">
        <w:rPr>
          <w:rFonts w:eastAsia="MS Mincho"/>
          <w:b w:val="0"/>
          <w:iCs w:val="0"/>
          <w:szCs w:val="20"/>
        </w:rPr>
        <w:t>92-3671850</w:t>
      </w:r>
    </w:p>
    <w:p w14:paraId="2D02E06A" w14:textId="77777777" w:rsidR="00513881" w:rsidRPr="00513881" w:rsidRDefault="00513881" w:rsidP="00A55CDD"/>
    <w:p w14:paraId="6F8A6246" w14:textId="77777777" w:rsidR="00513881" w:rsidRPr="00513881" w:rsidRDefault="00513881" w:rsidP="00513881">
      <w:pPr>
        <w:pStyle w:val="Heading5"/>
        <w:rPr>
          <w:bCs/>
        </w:rPr>
      </w:pPr>
      <w:r w:rsidRPr="00513881">
        <w:rPr>
          <w:bCs/>
        </w:rPr>
        <w:t>What if I have questions about PBGC and the pension insurance program guarantees?</w:t>
      </w:r>
    </w:p>
    <w:p w14:paraId="2AE90341" w14:textId="7D0B6010" w:rsidR="00513881" w:rsidRDefault="00513881" w:rsidP="00513881">
      <w:pPr>
        <w:pStyle w:val="Heading5"/>
        <w:rPr>
          <w:rFonts w:eastAsia="MS Mincho"/>
          <w:b w:val="0"/>
          <w:iCs w:val="0"/>
          <w:szCs w:val="20"/>
        </w:rPr>
      </w:pPr>
      <w:r w:rsidRPr="00A55CDD">
        <w:rPr>
          <w:rFonts w:eastAsia="MS Mincho"/>
          <w:b w:val="0"/>
          <w:iCs w:val="0"/>
          <w:szCs w:val="20"/>
        </w:rPr>
        <w:t>Visit</w:t>
      </w:r>
      <w:r w:rsidR="00AB42DD">
        <w:rPr>
          <w:rFonts w:eastAsia="MS Mincho"/>
          <w:b w:val="0"/>
          <w:iCs w:val="0"/>
          <w:szCs w:val="20"/>
        </w:rPr>
        <w:t xml:space="preserve"> </w:t>
      </w:r>
      <w:hyperlink r:id="rId12" w:history="1">
        <w:r w:rsidR="00AB42DD" w:rsidRPr="00D77CE8">
          <w:rPr>
            <w:rStyle w:val="Hyperlink"/>
            <w:b w:val="0"/>
            <w:iCs w:val="0"/>
            <w:szCs w:val="20"/>
          </w:rPr>
          <w:t>www.pbgc.gov/generalfaqs</w:t>
        </w:r>
      </w:hyperlink>
      <w:r w:rsidRPr="00A55CDD">
        <w:rPr>
          <w:rFonts w:eastAsia="MS Mincho"/>
          <w:b w:val="0"/>
          <w:iCs w:val="0"/>
          <w:szCs w:val="20"/>
        </w:rPr>
        <w:t> for more information. For specific information about your pension plan or pension benefits, you should contact your employer or plan administrator as PBGC does not have that information.</w:t>
      </w:r>
    </w:p>
    <w:p w14:paraId="399D8002" w14:textId="77777777" w:rsidR="00513881" w:rsidRPr="00513881" w:rsidRDefault="00513881" w:rsidP="00A55CDD"/>
    <w:p w14:paraId="482E96C6" w14:textId="77777777" w:rsidR="00513881" w:rsidRDefault="00513881" w:rsidP="00513881">
      <w:pPr>
        <w:pStyle w:val="Heading5"/>
        <w:rPr>
          <w:rFonts w:eastAsia="MS Mincho"/>
          <w:b w:val="0"/>
          <w:iCs w:val="0"/>
          <w:szCs w:val="20"/>
        </w:rPr>
      </w:pPr>
      <w:r w:rsidRPr="00A55CDD">
        <w:rPr>
          <w:rFonts w:eastAsia="MS Mincho"/>
          <w:b w:val="0"/>
          <w:iCs w:val="0"/>
          <w:szCs w:val="20"/>
        </w:rPr>
        <w:t>Federal law requires all traditional pension plans, also known as defined benefit pension plans, to provide this notice every year regardless of funding status. This notice does not mean your Plan is terminating.</w:t>
      </w:r>
    </w:p>
    <w:p w14:paraId="74DBB74D" w14:textId="77777777" w:rsidR="00513881" w:rsidRPr="00513881" w:rsidRDefault="00513881" w:rsidP="00A55CDD"/>
    <w:p w14:paraId="0F3BE666" w14:textId="25F3FC22" w:rsidR="00791782" w:rsidRPr="009E232D" w:rsidRDefault="00791782" w:rsidP="00791782">
      <w:pPr>
        <w:pStyle w:val="Heading5"/>
      </w:pPr>
      <w:r w:rsidRPr="009E232D">
        <w:t xml:space="preserve">How Well Funded </w:t>
      </w:r>
      <w:r>
        <w:t>I</w:t>
      </w:r>
      <w:r w:rsidRPr="009E232D">
        <w:t>s Your Plan</w:t>
      </w:r>
      <w:r w:rsidR="00D46D41">
        <w:t>?</w:t>
      </w:r>
    </w:p>
    <w:p w14:paraId="08028045" w14:textId="6C21DD7B" w:rsidR="00791782" w:rsidRDefault="00513881" w:rsidP="00791782">
      <w:pPr>
        <w:pStyle w:val="AonBodyCopy"/>
      </w:pPr>
      <w:r w:rsidRPr="00513881">
        <w:t xml:space="preserve">The law requires the plan administrator to explain how well the Plan is funded, using a measure called the “funded percentage.” The funded percentage is calculated by dividing Plan assets by Plan liabilities. In general, the higher the funded percentage, the better funded the plan. Plan liabilities are the present value of the benefits promised by the Plan, determined using a market-related interest assumption. The chart below shows the Plan’s funded percentage for the Plan Year and the two preceding plan years. It also lists the value of the Plan’s assets and liabilities for those years. </w:t>
      </w:r>
      <w:r w:rsidR="00FE7F94" w:rsidRPr="00366D0E">
        <w:t>Plan liabilities for the Plan Year in Line 3 of the chart reflect the plan administrator’s reasonable, good faith estimate.</w:t>
      </w:r>
    </w:p>
    <w:p w14:paraId="54825321" w14:textId="418087F9" w:rsidR="00B9380B" w:rsidRDefault="00B9380B">
      <w:r>
        <w:br w:type="page"/>
      </w:r>
    </w:p>
    <w:p w14:paraId="7AED44A7" w14:textId="77777777" w:rsidR="00382670" w:rsidRDefault="00382670" w:rsidP="00791782">
      <w:pPr>
        <w:pStyle w:val="AonBodyCopy"/>
      </w:pPr>
    </w:p>
    <w:tbl>
      <w:tblPr>
        <w:tblW w:w="9360" w:type="dxa"/>
        <w:tblCellSpacing w:w="0" w:type="dxa"/>
        <w:tblBorders>
          <w:insideH w:val="single" w:sz="4" w:space="0" w:color="808080"/>
        </w:tblBorders>
        <w:tblLayout w:type="fixed"/>
        <w:tblCellMar>
          <w:top w:w="75" w:type="dxa"/>
          <w:left w:w="75" w:type="dxa"/>
          <w:bottom w:w="75" w:type="dxa"/>
          <w:right w:w="75" w:type="dxa"/>
        </w:tblCellMar>
        <w:tblLook w:val="0000" w:firstRow="0" w:lastRow="0" w:firstColumn="0" w:lastColumn="0" w:noHBand="0" w:noVBand="0"/>
      </w:tblPr>
      <w:tblGrid>
        <w:gridCol w:w="3420"/>
        <w:gridCol w:w="1980"/>
        <w:gridCol w:w="1980"/>
        <w:gridCol w:w="1980"/>
      </w:tblGrid>
      <w:tr w:rsidR="00791782" w:rsidRPr="0062684F" w14:paraId="7FE30EA1" w14:textId="77777777" w:rsidTr="00BE3F93">
        <w:trPr>
          <w:cantSplit/>
          <w:tblCellSpacing w:w="0" w:type="dxa"/>
        </w:trPr>
        <w:tc>
          <w:tcPr>
            <w:tcW w:w="9360" w:type="dxa"/>
            <w:gridSpan w:val="4"/>
            <w:tcBorders>
              <w:top w:val="nil"/>
              <w:bottom w:val="single" w:sz="8" w:space="0" w:color="808080"/>
            </w:tcBorders>
            <w:shd w:val="clear" w:color="auto" w:fill="auto"/>
            <w:vAlign w:val="bottom"/>
          </w:tcPr>
          <w:p w14:paraId="62FF86CB" w14:textId="7AC987F0" w:rsidR="00791782" w:rsidRPr="00665FA2" w:rsidRDefault="00791782">
            <w:pPr>
              <w:pStyle w:val="TableColumnHead"/>
            </w:pPr>
            <w:r>
              <w:t>Funded Percentage</w:t>
            </w:r>
          </w:p>
        </w:tc>
      </w:tr>
      <w:tr w:rsidR="00791782" w:rsidRPr="0062684F" w14:paraId="2ED4080B" w14:textId="77777777" w:rsidTr="00BE3F93">
        <w:tblPrEx>
          <w:jc w:val="center"/>
        </w:tblPrEx>
        <w:trPr>
          <w:cantSplit/>
          <w:tblCellSpacing w:w="0" w:type="dxa"/>
          <w:jc w:val="center"/>
        </w:trPr>
        <w:tc>
          <w:tcPr>
            <w:tcW w:w="3420" w:type="dxa"/>
            <w:shd w:val="clear" w:color="auto" w:fill="auto"/>
            <w:vAlign w:val="center"/>
          </w:tcPr>
          <w:p w14:paraId="44B5447A" w14:textId="77777777" w:rsidR="00791782" w:rsidRPr="00353312" w:rsidRDefault="00791782">
            <w:pPr>
              <w:pStyle w:val="TableColumnHead"/>
            </w:pPr>
            <w:r w:rsidRPr="00353312">
              <w:t> </w:t>
            </w:r>
          </w:p>
        </w:tc>
        <w:tc>
          <w:tcPr>
            <w:tcW w:w="1980" w:type="dxa"/>
            <w:shd w:val="clear" w:color="auto" w:fill="auto"/>
            <w:vAlign w:val="center"/>
          </w:tcPr>
          <w:p w14:paraId="7910DE40" w14:textId="60BA2134" w:rsidR="00791782" w:rsidRPr="00353312" w:rsidRDefault="005D3395">
            <w:pPr>
              <w:pStyle w:val="TableColumnHead"/>
              <w:jc w:val="right"/>
            </w:pPr>
            <w:r>
              <w:t>2024</w:t>
            </w:r>
          </w:p>
        </w:tc>
        <w:tc>
          <w:tcPr>
            <w:tcW w:w="1980" w:type="dxa"/>
            <w:shd w:val="clear" w:color="auto" w:fill="auto"/>
            <w:vAlign w:val="center"/>
          </w:tcPr>
          <w:p w14:paraId="172B269A" w14:textId="5E147166" w:rsidR="00791782" w:rsidRPr="00353312" w:rsidRDefault="005D3395">
            <w:pPr>
              <w:pStyle w:val="TableColumnHead"/>
              <w:jc w:val="right"/>
            </w:pPr>
            <w:r>
              <w:t>2023</w:t>
            </w:r>
          </w:p>
        </w:tc>
        <w:tc>
          <w:tcPr>
            <w:tcW w:w="1980" w:type="dxa"/>
            <w:shd w:val="clear" w:color="auto" w:fill="auto"/>
            <w:vAlign w:val="center"/>
          </w:tcPr>
          <w:p w14:paraId="6D74A467" w14:textId="3E011281" w:rsidR="00791782" w:rsidRPr="00353312" w:rsidRDefault="005D3395">
            <w:pPr>
              <w:pStyle w:val="TableColumnHead"/>
              <w:jc w:val="right"/>
            </w:pPr>
            <w:r>
              <w:t>2022</w:t>
            </w:r>
          </w:p>
        </w:tc>
      </w:tr>
      <w:tr w:rsidR="00BE3F93" w:rsidRPr="0062684F" w14:paraId="6979D9D2" w14:textId="77777777" w:rsidTr="00BE3F93">
        <w:tblPrEx>
          <w:jc w:val="center"/>
        </w:tblPrEx>
        <w:trPr>
          <w:cantSplit/>
          <w:tblCellSpacing w:w="0" w:type="dxa"/>
          <w:jc w:val="center"/>
        </w:trPr>
        <w:tc>
          <w:tcPr>
            <w:tcW w:w="3420" w:type="dxa"/>
            <w:shd w:val="clear" w:color="auto" w:fill="auto"/>
            <w:vAlign w:val="center"/>
          </w:tcPr>
          <w:p w14:paraId="4877848C" w14:textId="7AD9AC42" w:rsidR="00513881" w:rsidRPr="00DF61E5" w:rsidRDefault="00513881" w:rsidP="00DF61E5">
            <w:pPr>
              <w:pStyle w:val="Tablecopy"/>
              <w:numPr>
                <w:ilvl w:val="1"/>
                <w:numId w:val="11"/>
              </w:numPr>
              <w:ind w:left="170" w:hanging="180"/>
              <w:rPr>
                <w:b/>
                <w:bCs/>
              </w:rPr>
            </w:pPr>
            <w:r w:rsidRPr="00DF61E5">
              <w:rPr>
                <w:b/>
                <w:bCs/>
              </w:rPr>
              <w:t xml:space="preserve"> Last day of relevant plan year</w:t>
            </w:r>
          </w:p>
        </w:tc>
        <w:tc>
          <w:tcPr>
            <w:tcW w:w="1980" w:type="dxa"/>
            <w:shd w:val="clear" w:color="auto" w:fill="auto"/>
            <w:vAlign w:val="center"/>
          </w:tcPr>
          <w:p w14:paraId="2C24C6C0" w14:textId="07F20182" w:rsidR="00513881" w:rsidRPr="00941B5A" w:rsidRDefault="005D3395">
            <w:pPr>
              <w:pStyle w:val="Tablecopy"/>
              <w:jc w:val="right"/>
            </w:pPr>
            <w:r>
              <w:t>December 31, 2024</w:t>
            </w:r>
          </w:p>
        </w:tc>
        <w:tc>
          <w:tcPr>
            <w:tcW w:w="1980" w:type="dxa"/>
            <w:shd w:val="clear" w:color="auto" w:fill="auto"/>
            <w:vAlign w:val="center"/>
          </w:tcPr>
          <w:p w14:paraId="19E99010" w14:textId="155C5E4E" w:rsidR="00513881" w:rsidRPr="00941B5A" w:rsidRDefault="005D3395">
            <w:pPr>
              <w:pStyle w:val="Tablecopy"/>
              <w:jc w:val="right"/>
            </w:pPr>
            <w:r>
              <w:t>December 31, 2023</w:t>
            </w:r>
          </w:p>
        </w:tc>
        <w:tc>
          <w:tcPr>
            <w:tcW w:w="1980" w:type="dxa"/>
            <w:shd w:val="clear" w:color="auto" w:fill="auto"/>
            <w:vAlign w:val="center"/>
          </w:tcPr>
          <w:p w14:paraId="30488743" w14:textId="3DFF72EA" w:rsidR="00513881" w:rsidRPr="00941B5A" w:rsidRDefault="005D3395">
            <w:pPr>
              <w:pStyle w:val="Tablecopy"/>
              <w:jc w:val="right"/>
            </w:pPr>
            <w:r>
              <w:t>December 31, 2022</w:t>
            </w:r>
          </w:p>
        </w:tc>
      </w:tr>
      <w:tr w:rsidR="00791782" w:rsidRPr="0062684F" w14:paraId="779670D8" w14:textId="77777777" w:rsidTr="00BE3F93">
        <w:tblPrEx>
          <w:jc w:val="center"/>
        </w:tblPrEx>
        <w:trPr>
          <w:cantSplit/>
          <w:tblCellSpacing w:w="0" w:type="dxa"/>
          <w:jc w:val="center"/>
        </w:trPr>
        <w:tc>
          <w:tcPr>
            <w:tcW w:w="3420" w:type="dxa"/>
            <w:shd w:val="clear" w:color="auto" w:fill="auto"/>
            <w:vAlign w:val="center"/>
          </w:tcPr>
          <w:p w14:paraId="05A861B4" w14:textId="1F406DD8" w:rsidR="00791782" w:rsidRPr="00DF61E5" w:rsidRDefault="00513881">
            <w:pPr>
              <w:pStyle w:val="Tablecopy"/>
              <w:rPr>
                <w:b/>
                <w:bCs/>
              </w:rPr>
            </w:pPr>
            <w:r w:rsidRPr="00DF61E5">
              <w:rPr>
                <w:b/>
                <w:bCs/>
              </w:rPr>
              <w:t>2</w:t>
            </w:r>
            <w:r w:rsidR="00791782" w:rsidRPr="00DF61E5">
              <w:rPr>
                <w:b/>
                <w:bCs/>
              </w:rPr>
              <w:t xml:space="preserve">. Plan </w:t>
            </w:r>
            <w:r w:rsidRPr="00DF61E5">
              <w:rPr>
                <w:b/>
                <w:bCs/>
              </w:rPr>
              <w:t>a</w:t>
            </w:r>
            <w:r w:rsidR="00791782" w:rsidRPr="00DF61E5">
              <w:rPr>
                <w:b/>
                <w:bCs/>
              </w:rPr>
              <w:t>ssets</w:t>
            </w:r>
          </w:p>
        </w:tc>
        <w:tc>
          <w:tcPr>
            <w:tcW w:w="1980" w:type="dxa"/>
            <w:shd w:val="clear" w:color="auto" w:fill="auto"/>
            <w:vAlign w:val="center"/>
          </w:tcPr>
          <w:p w14:paraId="27B8E55F" w14:textId="39327E71" w:rsidR="00791782" w:rsidRPr="00353312" w:rsidRDefault="005D3395">
            <w:pPr>
              <w:pStyle w:val="Tablecopy"/>
              <w:jc w:val="right"/>
            </w:pPr>
            <w:r>
              <w:t>$406,099,558</w:t>
            </w:r>
          </w:p>
        </w:tc>
        <w:tc>
          <w:tcPr>
            <w:tcW w:w="1980" w:type="dxa"/>
            <w:shd w:val="clear" w:color="auto" w:fill="auto"/>
            <w:vAlign w:val="center"/>
          </w:tcPr>
          <w:p w14:paraId="7B444314" w14:textId="19E3EC66" w:rsidR="00791782" w:rsidRPr="00353312" w:rsidRDefault="005D3395">
            <w:pPr>
              <w:pStyle w:val="Tablecopy"/>
              <w:jc w:val="right"/>
            </w:pPr>
            <w:r>
              <w:t>$423,041,644</w:t>
            </w:r>
          </w:p>
        </w:tc>
        <w:tc>
          <w:tcPr>
            <w:tcW w:w="1980" w:type="dxa"/>
            <w:shd w:val="clear" w:color="auto" w:fill="auto"/>
            <w:vAlign w:val="center"/>
          </w:tcPr>
          <w:p w14:paraId="04CE40BE" w14:textId="0E1B53EE" w:rsidR="00791782" w:rsidRPr="00353312" w:rsidRDefault="005D3395">
            <w:pPr>
              <w:pStyle w:val="Tablecopy"/>
              <w:jc w:val="right"/>
            </w:pPr>
            <w:r>
              <w:t>$40</w:t>
            </w:r>
            <w:r w:rsidR="00892471">
              <w:t>5</w:t>
            </w:r>
            <w:r>
              <w:t>,</w:t>
            </w:r>
            <w:r w:rsidR="00892471">
              <w:t>847</w:t>
            </w:r>
            <w:r>
              <w:t>,</w:t>
            </w:r>
            <w:r w:rsidR="00892471">
              <w:t>924</w:t>
            </w:r>
          </w:p>
        </w:tc>
      </w:tr>
      <w:tr w:rsidR="00791782" w:rsidRPr="0062684F" w14:paraId="47C599B7" w14:textId="77777777" w:rsidTr="00BE3F93">
        <w:tblPrEx>
          <w:jc w:val="center"/>
        </w:tblPrEx>
        <w:trPr>
          <w:cantSplit/>
          <w:tblCellSpacing w:w="0" w:type="dxa"/>
          <w:jc w:val="center"/>
        </w:trPr>
        <w:tc>
          <w:tcPr>
            <w:tcW w:w="3420" w:type="dxa"/>
            <w:shd w:val="clear" w:color="auto" w:fill="auto"/>
            <w:vAlign w:val="center"/>
          </w:tcPr>
          <w:p w14:paraId="7E163FA0" w14:textId="3AA8FBF1" w:rsidR="00791782" w:rsidRPr="00DF61E5" w:rsidRDefault="00513881">
            <w:pPr>
              <w:pStyle w:val="Tablecopy"/>
              <w:rPr>
                <w:b/>
                <w:bCs/>
              </w:rPr>
            </w:pPr>
            <w:r w:rsidRPr="00DF61E5">
              <w:rPr>
                <w:b/>
                <w:bCs/>
              </w:rPr>
              <w:t>3</w:t>
            </w:r>
            <w:r w:rsidR="00791782" w:rsidRPr="00DF61E5">
              <w:rPr>
                <w:b/>
                <w:bCs/>
              </w:rPr>
              <w:t xml:space="preserve">. Plan </w:t>
            </w:r>
            <w:r w:rsidRPr="00DF61E5">
              <w:rPr>
                <w:b/>
                <w:bCs/>
              </w:rPr>
              <w:t>l</w:t>
            </w:r>
            <w:r w:rsidR="00791782" w:rsidRPr="00DF61E5">
              <w:rPr>
                <w:b/>
                <w:bCs/>
              </w:rPr>
              <w:t>iabilities</w:t>
            </w:r>
          </w:p>
        </w:tc>
        <w:tc>
          <w:tcPr>
            <w:tcW w:w="1980" w:type="dxa"/>
            <w:shd w:val="clear" w:color="auto" w:fill="auto"/>
            <w:vAlign w:val="center"/>
          </w:tcPr>
          <w:p w14:paraId="3693D217" w14:textId="6D52056B" w:rsidR="00791782" w:rsidRPr="00353312" w:rsidRDefault="005D3395">
            <w:pPr>
              <w:pStyle w:val="Tablecopy"/>
              <w:jc w:val="right"/>
              <w:rPr>
                <w:highlight w:val="yellow"/>
              </w:rPr>
            </w:pPr>
            <w:r>
              <w:t>$496,341,575</w:t>
            </w:r>
          </w:p>
        </w:tc>
        <w:tc>
          <w:tcPr>
            <w:tcW w:w="1980" w:type="dxa"/>
            <w:shd w:val="clear" w:color="auto" w:fill="auto"/>
            <w:vAlign w:val="center"/>
          </w:tcPr>
          <w:p w14:paraId="5FEF84A9" w14:textId="78085F5A" w:rsidR="00791782" w:rsidRPr="00353312" w:rsidRDefault="005D3395">
            <w:pPr>
              <w:pStyle w:val="Tablecopy"/>
              <w:jc w:val="right"/>
              <w:rPr>
                <w:highlight w:val="yellow"/>
              </w:rPr>
            </w:pPr>
            <w:r>
              <w:t>$496,214,961</w:t>
            </w:r>
          </w:p>
        </w:tc>
        <w:tc>
          <w:tcPr>
            <w:tcW w:w="1980" w:type="dxa"/>
            <w:shd w:val="clear" w:color="auto" w:fill="auto"/>
            <w:vAlign w:val="center"/>
          </w:tcPr>
          <w:p w14:paraId="02C12C1A" w14:textId="413EC3EC" w:rsidR="00791782" w:rsidRPr="00353312" w:rsidRDefault="005D3395">
            <w:pPr>
              <w:pStyle w:val="Tablecopy"/>
              <w:jc w:val="right"/>
              <w:rPr>
                <w:highlight w:val="yellow"/>
              </w:rPr>
            </w:pPr>
            <w:r>
              <w:t>$482,798,654</w:t>
            </w:r>
          </w:p>
        </w:tc>
      </w:tr>
      <w:tr w:rsidR="00791782" w:rsidRPr="0062684F" w14:paraId="1749BE62" w14:textId="77777777" w:rsidTr="00BE3F93">
        <w:tblPrEx>
          <w:jc w:val="center"/>
        </w:tblPrEx>
        <w:trPr>
          <w:cantSplit/>
          <w:tblCellSpacing w:w="0" w:type="dxa"/>
          <w:jc w:val="center"/>
        </w:trPr>
        <w:tc>
          <w:tcPr>
            <w:tcW w:w="3420" w:type="dxa"/>
            <w:shd w:val="clear" w:color="auto" w:fill="auto"/>
            <w:vAlign w:val="center"/>
          </w:tcPr>
          <w:p w14:paraId="1C3D9FE5" w14:textId="6F6EA30D" w:rsidR="00791782" w:rsidRPr="00DF61E5" w:rsidRDefault="00513881">
            <w:pPr>
              <w:pStyle w:val="Tablecopy"/>
              <w:ind w:left="233" w:hanging="233"/>
              <w:rPr>
                <w:b/>
                <w:bCs/>
              </w:rPr>
            </w:pPr>
            <w:r w:rsidRPr="00DF61E5">
              <w:rPr>
                <w:b/>
                <w:bCs/>
              </w:rPr>
              <w:t>4</w:t>
            </w:r>
            <w:r w:rsidR="00791782" w:rsidRPr="00DF61E5">
              <w:rPr>
                <w:b/>
                <w:bCs/>
              </w:rPr>
              <w:t xml:space="preserve">. Funded </w:t>
            </w:r>
            <w:r w:rsidRPr="00DF61E5">
              <w:rPr>
                <w:b/>
                <w:bCs/>
              </w:rPr>
              <w:t>p</w:t>
            </w:r>
            <w:r w:rsidR="00791782" w:rsidRPr="00DF61E5">
              <w:rPr>
                <w:b/>
                <w:bCs/>
              </w:rPr>
              <w:t>ercentage (</w:t>
            </w:r>
            <w:r w:rsidRPr="00DF61E5">
              <w:rPr>
                <w:b/>
                <w:bCs/>
              </w:rPr>
              <w:t xml:space="preserve">Line 2 </w:t>
            </w:r>
            <w:r w:rsidR="00A968E9" w:rsidRPr="00DF61E5">
              <w:rPr>
                <w:b/>
                <w:bCs/>
              </w:rPr>
              <w:t xml:space="preserve">÷ </w:t>
            </w:r>
            <w:r w:rsidRPr="00DF61E5">
              <w:rPr>
                <w:b/>
                <w:bCs/>
              </w:rPr>
              <w:t>Line 3</w:t>
            </w:r>
            <w:r w:rsidR="00791782" w:rsidRPr="00DF61E5">
              <w:rPr>
                <w:b/>
                <w:bCs/>
              </w:rPr>
              <w:t>)</w:t>
            </w:r>
          </w:p>
        </w:tc>
        <w:tc>
          <w:tcPr>
            <w:tcW w:w="1980" w:type="dxa"/>
            <w:shd w:val="clear" w:color="auto" w:fill="auto"/>
            <w:vAlign w:val="center"/>
          </w:tcPr>
          <w:p w14:paraId="032BDE60" w14:textId="07387785" w:rsidR="00791782" w:rsidRPr="00353312" w:rsidRDefault="005D3395">
            <w:pPr>
              <w:pStyle w:val="Tablecopy"/>
              <w:jc w:val="right"/>
              <w:rPr>
                <w:highlight w:val="yellow"/>
              </w:rPr>
            </w:pPr>
            <w:r>
              <w:t>82%</w:t>
            </w:r>
          </w:p>
        </w:tc>
        <w:tc>
          <w:tcPr>
            <w:tcW w:w="1980" w:type="dxa"/>
            <w:shd w:val="clear" w:color="auto" w:fill="auto"/>
            <w:vAlign w:val="center"/>
          </w:tcPr>
          <w:p w14:paraId="44FEB59B" w14:textId="53F97F04" w:rsidR="00791782" w:rsidRPr="00353312" w:rsidRDefault="005D3395">
            <w:pPr>
              <w:pStyle w:val="Tablecopy"/>
              <w:jc w:val="right"/>
              <w:rPr>
                <w:highlight w:val="yellow"/>
              </w:rPr>
            </w:pPr>
            <w:r>
              <w:t>85%</w:t>
            </w:r>
          </w:p>
        </w:tc>
        <w:tc>
          <w:tcPr>
            <w:tcW w:w="1980" w:type="dxa"/>
            <w:shd w:val="clear" w:color="auto" w:fill="auto"/>
            <w:vAlign w:val="center"/>
          </w:tcPr>
          <w:p w14:paraId="7A89E601" w14:textId="535C8CED" w:rsidR="00791782" w:rsidRPr="00353312" w:rsidRDefault="005D3395">
            <w:pPr>
              <w:pStyle w:val="Tablecopy"/>
              <w:jc w:val="right"/>
              <w:rPr>
                <w:highlight w:val="yellow"/>
              </w:rPr>
            </w:pPr>
            <w:r>
              <w:t>84%</w:t>
            </w:r>
          </w:p>
        </w:tc>
      </w:tr>
    </w:tbl>
    <w:p w14:paraId="03197F8F" w14:textId="77777777" w:rsidR="00791782" w:rsidRDefault="00791782" w:rsidP="00791782">
      <w:pPr>
        <w:spacing w:before="79"/>
        <w:ind w:left="120" w:right="227"/>
        <w:rPr>
          <w:rFonts w:ascii="Book Antiqua" w:eastAsia="Book Antiqua" w:hAnsi="Book Antiqua" w:cs="Book Antiqua"/>
          <w:i/>
          <w:spacing w:val="-1"/>
          <w:sz w:val="18"/>
          <w:szCs w:val="18"/>
        </w:rPr>
      </w:pPr>
    </w:p>
    <w:p w14:paraId="2465DAA4" w14:textId="77777777" w:rsidR="00A968E9" w:rsidRDefault="00A968E9" w:rsidP="00DF61E5">
      <w:pPr>
        <w:spacing w:before="79"/>
        <w:ind w:right="227"/>
      </w:pPr>
      <w:r w:rsidRPr="00DF61E5">
        <w:t>If the Plan terminates, the Plan’s liabilities calculated by PBGC may be greater than the Plan liabilities shown in the above chart. When PBGC takes over a terminated plan as trustee, it guarantees benefits up to a legal limit. See the section of this notice titled “Benefit Payments Guaranteed by PBGC” for additional information.</w:t>
      </w:r>
    </w:p>
    <w:p w14:paraId="69B110CE" w14:textId="77777777" w:rsidR="006079DD" w:rsidRDefault="006079DD" w:rsidP="00DF61E5">
      <w:pPr>
        <w:spacing w:before="79"/>
        <w:ind w:right="227"/>
        <w:rPr>
          <w:rFonts w:eastAsia="Book Antiqua" w:cs="Arial"/>
          <w:i/>
          <w:iCs/>
          <w:spacing w:val="-1"/>
          <w:sz w:val="16"/>
          <w:szCs w:val="16"/>
        </w:rPr>
      </w:pPr>
    </w:p>
    <w:p w14:paraId="2E795DE8" w14:textId="2741A663" w:rsidR="00791782" w:rsidRPr="009E232D" w:rsidRDefault="00791782" w:rsidP="00791782">
      <w:pPr>
        <w:pStyle w:val="Heading5"/>
      </w:pPr>
      <w:r w:rsidRPr="009E232D">
        <w:t xml:space="preserve">Participant </w:t>
      </w:r>
      <w:r w:rsidR="00A968E9">
        <w:t xml:space="preserve">and Beneficiary </w:t>
      </w:r>
      <w:r w:rsidRPr="009E232D">
        <w:t xml:space="preserve">Information </w:t>
      </w:r>
    </w:p>
    <w:p w14:paraId="0114530B" w14:textId="409EA741" w:rsidR="00791782" w:rsidRDefault="00A968E9" w:rsidP="00791782">
      <w:pPr>
        <w:pStyle w:val="AonBodyCopy"/>
        <w:rPr>
          <w:color w:val="000000"/>
        </w:rPr>
      </w:pPr>
      <w:r w:rsidRPr="00A968E9">
        <w:rPr>
          <w:color w:val="000000"/>
        </w:rPr>
        <w:t>The following chart shows the number of participants and beneficiaries covered by the Plan on the last day of the Plan Year and the two preceding years. The numbers for the Plan Year reflect the plan administrator’s reasonable, good faith estimate.</w:t>
      </w:r>
    </w:p>
    <w:tbl>
      <w:tblPr>
        <w:tblW w:w="9540" w:type="dxa"/>
        <w:jc w:val="center"/>
        <w:tblCellSpacing w:w="0" w:type="dxa"/>
        <w:tblBorders>
          <w:insideH w:val="single" w:sz="4" w:space="0" w:color="808080"/>
        </w:tblBorders>
        <w:tblLayout w:type="fixed"/>
        <w:tblCellMar>
          <w:top w:w="75" w:type="dxa"/>
          <w:left w:w="75" w:type="dxa"/>
          <w:bottom w:w="75" w:type="dxa"/>
          <w:right w:w="75" w:type="dxa"/>
        </w:tblCellMar>
        <w:tblLook w:val="0000" w:firstRow="0" w:lastRow="0" w:firstColumn="0" w:lastColumn="0" w:noHBand="0" w:noVBand="0"/>
      </w:tblPr>
      <w:tblGrid>
        <w:gridCol w:w="3510"/>
        <w:gridCol w:w="2010"/>
        <w:gridCol w:w="2010"/>
        <w:gridCol w:w="2010"/>
      </w:tblGrid>
      <w:tr w:rsidR="00A968E9" w:rsidRPr="0062684F" w14:paraId="1C532357" w14:textId="77777777" w:rsidTr="0066721B">
        <w:trPr>
          <w:cantSplit/>
          <w:tblCellSpacing w:w="0" w:type="dxa"/>
          <w:jc w:val="center"/>
        </w:trPr>
        <w:tc>
          <w:tcPr>
            <w:tcW w:w="3510" w:type="dxa"/>
            <w:shd w:val="clear" w:color="auto" w:fill="auto"/>
            <w:vAlign w:val="center"/>
          </w:tcPr>
          <w:p w14:paraId="03C28499" w14:textId="14493324" w:rsidR="00A968E9" w:rsidRPr="00353312" w:rsidRDefault="00A968E9" w:rsidP="00A968E9">
            <w:pPr>
              <w:pStyle w:val="TableColumnHead"/>
            </w:pPr>
            <w:r w:rsidRPr="00A968E9">
              <w:rPr>
                <w:bCs/>
              </w:rPr>
              <w:t>Number of participants and beneficiaries on last day of relevant plan year</w:t>
            </w:r>
          </w:p>
        </w:tc>
        <w:tc>
          <w:tcPr>
            <w:tcW w:w="2010" w:type="dxa"/>
            <w:shd w:val="clear" w:color="auto" w:fill="auto"/>
            <w:vAlign w:val="center"/>
          </w:tcPr>
          <w:p w14:paraId="58658C84" w14:textId="2DFC803F" w:rsidR="00A968E9" w:rsidRPr="00353312" w:rsidRDefault="005D3395" w:rsidP="00A968E9">
            <w:pPr>
              <w:pStyle w:val="TableColumnHead"/>
              <w:jc w:val="right"/>
            </w:pPr>
            <w:r>
              <w:t>2024</w:t>
            </w:r>
          </w:p>
        </w:tc>
        <w:tc>
          <w:tcPr>
            <w:tcW w:w="2010" w:type="dxa"/>
            <w:shd w:val="clear" w:color="auto" w:fill="auto"/>
            <w:vAlign w:val="center"/>
          </w:tcPr>
          <w:p w14:paraId="4ACC8C5C" w14:textId="1A7BA8D4" w:rsidR="00A968E9" w:rsidRPr="00353312" w:rsidRDefault="005D3395" w:rsidP="00A968E9">
            <w:pPr>
              <w:pStyle w:val="TableColumnHead"/>
              <w:jc w:val="right"/>
            </w:pPr>
            <w:r>
              <w:t>2023</w:t>
            </w:r>
          </w:p>
        </w:tc>
        <w:tc>
          <w:tcPr>
            <w:tcW w:w="2010" w:type="dxa"/>
            <w:shd w:val="clear" w:color="auto" w:fill="auto"/>
            <w:vAlign w:val="center"/>
          </w:tcPr>
          <w:p w14:paraId="24318F4C" w14:textId="1E72BB71" w:rsidR="00A968E9" w:rsidRPr="00353312" w:rsidRDefault="005D3395" w:rsidP="00A968E9">
            <w:pPr>
              <w:pStyle w:val="TableColumnHead"/>
              <w:jc w:val="right"/>
            </w:pPr>
            <w:r>
              <w:t>2022</w:t>
            </w:r>
          </w:p>
        </w:tc>
      </w:tr>
      <w:tr w:rsidR="00A968E9" w:rsidRPr="0062684F" w14:paraId="52845D73" w14:textId="77777777" w:rsidTr="0066721B">
        <w:trPr>
          <w:cantSplit/>
          <w:tblCellSpacing w:w="0" w:type="dxa"/>
          <w:jc w:val="center"/>
        </w:trPr>
        <w:tc>
          <w:tcPr>
            <w:tcW w:w="3510" w:type="dxa"/>
            <w:shd w:val="clear" w:color="auto" w:fill="auto"/>
            <w:vAlign w:val="center"/>
          </w:tcPr>
          <w:p w14:paraId="72764DBA" w14:textId="385269A0" w:rsidR="00A968E9" w:rsidRDefault="00A968E9" w:rsidP="00CE65BF">
            <w:pPr>
              <w:pStyle w:val="Tablecopy"/>
              <w:numPr>
                <w:ilvl w:val="0"/>
                <w:numId w:val="13"/>
              </w:numPr>
              <w:ind w:left="370"/>
            </w:pPr>
            <w:r w:rsidRPr="00795832">
              <w:rPr>
                <w:b/>
                <w:bCs/>
              </w:rPr>
              <w:t>Last day of relevant plan year</w:t>
            </w:r>
          </w:p>
        </w:tc>
        <w:tc>
          <w:tcPr>
            <w:tcW w:w="2010" w:type="dxa"/>
            <w:shd w:val="clear" w:color="auto" w:fill="auto"/>
            <w:vAlign w:val="center"/>
          </w:tcPr>
          <w:p w14:paraId="3F90C597" w14:textId="5D790EA6" w:rsidR="00A968E9" w:rsidRPr="00941B5A" w:rsidRDefault="005D3395" w:rsidP="00A968E9">
            <w:pPr>
              <w:pStyle w:val="Tablecopy"/>
              <w:jc w:val="right"/>
            </w:pPr>
            <w:r>
              <w:t>December 31, 2024</w:t>
            </w:r>
          </w:p>
        </w:tc>
        <w:tc>
          <w:tcPr>
            <w:tcW w:w="2010" w:type="dxa"/>
            <w:shd w:val="clear" w:color="auto" w:fill="auto"/>
            <w:vAlign w:val="center"/>
          </w:tcPr>
          <w:p w14:paraId="2FF916C9" w14:textId="0DE1C1A2" w:rsidR="00A968E9" w:rsidRPr="00941B5A" w:rsidRDefault="005D3395" w:rsidP="00A968E9">
            <w:pPr>
              <w:pStyle w:val="Tablecopy"/>
              <w:jc w:val="right"/>
            </w:pPr>
            <w:r>
              <w:t>December 31, 2023</w:t>
            </w:r>
          </w:p>
        </w:tc>
        <w:tc>
          <w:tcPr>
            <w:tcW w:w="2010" w:type="dxa"/>
            <w:shd w:val="clear" w:color="auto" w:fill="auto"/>
            <w:vAlign w:val="center"/>
          </w:tcPr>
          <w:p w14:paraId="01EBEA33" w14:textId="10754266" w:rsidR="00A968E9" w:rsidRPr="00941B5A" w:rsidRDefault="005D3395" w:rsidP="00A968E9">
            <w:pPr>
              <w:pStyle w:val="Tablecopy"/>
              <w:jc w:val="right"/>
            </w:pPr>
            <w:r>
              <w:t>December 31, 2022</w:t>
            </w:r>
          </w:p>
        </w:tc>
      </w:tr>
      <w:tr w:rsidR="00A968E9" w:rsidRPr="0062684F" w14:paraId="51369261" w14:textId="77777777" w:rsidTr="0066721B">
        <w:trPr>
          <w:cantSplit/>
          <w:tblCellSpacing w:w="0" w:type="dxa"/>
          <w:jc w:val="center"/>
        </w:trPr>
        <w:tc>
          <w:tcPr>
            <w:tcW w:w="3510" w:type="dxa"/>
            <w:shd w:val="clear" w:color="auto" w:fill="auto"/>
            <w:vAlign w:val="center"/>
          </w:tcPr>
          <w:p w14:paraId="3C7F7415" w14:textId="2521AB72" w:rsidR="00A968E9" w:rsidRPr="00CE65BF" w:rsidRDefault="00A968E9" w:rsidP="00CE65BF">
            <w:pPr>
              <w:pStyle w:val="Tablecopy"/>
              <w:numPr>
                <w:ilvl w:val="0"/>
                <w:numId w:val="13"/>
              </w:numPr>
              <w:ind w:left="370"/>
              <w:rPr>
                <w:b/>
                <w:bCs/>
              </w:rPr>
            </w:pPr>
            <w:r w:rsidRPr="00CE65BF">
              <w:rPr>
                <w:b/>
                <w:bCs/>
              </w:rPr>
              <w:t>Participants currently employed</w:t>
            </w:r>
          </w:p>
        </w:tc>
        <w:tc>
          <w:tcPr>
            <w:tcW w:w="2010" w:type="dxa"/>
            <w:shd w:val="clear" w:color="auto" w:fill="auto"/>
            <w:vAlign w:val="center"/>
          </w:tcPr>
          <w:p w14:paraId="00951B4E" w14:textId="7A2E7A27" w:rsidR="00A968E9" w:rsidRPr="00353312" w:rsidRDefault="005D3395" w:rsidP="00A968E9">
            <w:pPr>
              <w:pStyle w:val="Tablecopy"/>
              <w:jc w:val="right"/>
            </w:pPr>
            <w:r>
              <w:t>623</w:t>
            </w:r>
          </w:p>
        </w:tc>
        <w:tc>
          <w:tcPr>
            <w:tcW w:w="2010" w:type="dxa"/>
            <w:shd w:val="clear" w:color="auto" w:fill="auto"/>
            <w:vAlign w:val="center"/>
          </w:tcPr>
          <w:p w14:paraId="7345325C" w14:textId="0E6028FD" w:rsidR="00A968E9" w:rsidRPr="00353312" w:rsidRDefault="005D3395" w:rsidP="00A968E9">
            <w:pPr>
              <w:pStyle w:val="Tablecopy"/>
              <w:jc w:val="right"/>
            </w:pPr>
            <w:r>
              <w:t>684</w:t>
            </w:r>
          </w:p>
        </w:tc>
        <w:tc>
          <w:tcPr>
            <w:tcW w:w="2010" w:type="dxa"/>
            <w:shd w:val="clear" w:color="auto" w:fill="auto"/>
            <w:vAlign w:val="center"/>
          </w:tcPr>
          <w:p w14:paraId="40A9E803" w14:textId="4C865703" w:rsidR="00A968E9" w:rsidRPr="00353312" w:rsidRDefault="005D3395" w:rsidP="00A968E9">
            <w:pPr>
              <w:pStyle w:val="Tablecopy"/>
              <w:jc w:val="right"/>
            </w:pPr>
            <w:r>
              <w:t>720</w:t>
            </w:r>
          </w:p>
        </w:tc>
      </w:tr>
      <w:tr w:rsidR="001825B7" w:rsidRPr="0062684F" w14:paraId="2C71BA86" w14:textId="77777777" w:rsidTr="0066721B">
        <w:trPr>
          <w:cantSplit/>
          <w:tblCellSpacing w:w="0" w:type="dxa"/>
          <w:jc w:val="center"/>
        </w:trPr>
        <w:tc>
          <w:tcPr>
            <w:tcW w:w="3510" w:type="dxa"/>
            <w:shd w:val="clear" w:color="auto" w:fill="auto"/>
            <w:vAlign w:val="center"/>
          </w:tcPr>
          <w:p w14:paraId="359A8488" w14:textId="20F20BF4" w:rsidR="001825B7" w:rsidRPr="00CE65BF" w:rsidRDefault="001825B7" w:rsidP="001825B7">
            <w:pPr>
              <w:pStyle w:val="Tablecopy"/>
              <w:numPr>
                <w:ilvl w:val="0"/>
                <w:numId w:val="13"/>
              </w:numPr>
              <w:ind w:left="370"/>
              <w:rPr>
                <w:b/>
                <w:bCs/>
              </w:rPr>
            </w:pPr>
            <w:r w:rsidRPr="00CE65BF">
              <w:rPr>
                <w:b/>
                <w:bCs/>
              </w:rPr>
              <w:t>Participants and beneficiaries receiving benefits</w:t>
            </w:r>
          </w:p>
        </w:tc>
        <w:tc>
          <w:tcPr>
            <w:tcW w:w="2010" w:type="dxa"/>
            <w:shd w:val="clear" w:color="auto" w:fill="auto"/>
            <w:vAlign w:val="center"/>
          </w:tcPr>
          <w:p w14:paraId="03DB2176" w14:textId="59507318" w:rsidR="001825B7" w:rsidRPr="00353312" w:rsidRDefault="005D3395" w:rsidP="001825B7">
            <w:pPr>
              <w:pStyle w:val="Tablecopy"/>
              <w:jc w:val="right"/>
              <w:rPr>
                <w:highlight w:val="yellow"/>
              </w:rPr>
            </w:pPr>
            <w:r>
              <w:t>1,543</w:t>
            </w:r>
          </w:p>
        </w:tc>
        <w:tc>
          <w:tcPr>
            <w:tcW w:w="2010" w:type="dxa"/>
            <w:shd w:val="clear" w:color="auto" w:fill="auto"/>
            <w:vAlign w:val="center"/>
          </w:tcPr>
          <w:p w14:paraId="089F6D5C" w14:textId="771DCDDB" w:rsidR="001825B7" w:rsidRPr="00353312" w:rsidRDefault="005D3395" w:rsidP="001825B7">
            <w:pPr>
              <w:pStyle w:val="Tablecopy"/>
              <w:jc w:val="right"/>
              <w:rPr>
                <w:highlight w:val="yellow"/>
              </w:rPr>
            </w:pPr>
            <w:r>
              <w:t>1,509</w:t>
            </w:r>
          </w:p>
        </w:tc>
        <w:tc>
          <w:tcPr>
            <w:tcW w:w="2010" w:type="dxa"/>
            <w:shd w:val="clear" w:color="auto" w:fill="auto"/>
            <w:vAlign w:val="center"/>
          </w:tcPr>
          <w:p w14:paraId="67330C74" w14:textId="315365EB" w:rsidR="001825B7" w:rsidRPr="00353312" w:rsidRDefault="005D3395" w:rsidP="001825B7">
            <w:pPr>
              <w:pStyle w:val="Tablecopy"/>
              <w:jc w:val="right"/>
              <w:rPr>
                <w:highlight w:val="yellow"/>
              </w:rPr>
            </w:pPr>
            <w:r>
              <w:t>1,468</w:t>
            </w:r>
          </w:p>
        </w:tc>
      </w:tr>
      <w:tr w:rsidR="001825B7" w:rsidRPr="0062684F" w14:paraId="55E55831" w14:textId="77777777" w:rsidTr="0066721B">
        <w:trPr>
          <w:cantSplit/>
          <w:tblCellSpacing w:w="0" w:type="dxa"/>
          <w:jc w:val="center"/>
        </w:trPr>
        <w:tc>
          <w:tcPr>
            <w:tcW w:w="3510" w:type="dxa"/>
            <w:shd w:val="clear" w:color="auto" w:fill="auto"/>
            <w:vAlign w:val="center"/>
          </w:tcPr>
          <w:p w14:paraId="220D6E3D" w14:textId="11D3F798" w:rsidR="001825B7" w:rsidRPr="00CE65BF" w:rsidRDefault="001825B7" w:rsidP="001825B7">
            <w:pPr>
              <w:pStyle w:val="Tablecopy"/>
              <w:numPr>
                <w:ilvl w:val="0"/>
                <w:numId w:val="13"/>
              </w:numPr>
              <w:ind w:left="370"/>
              <w:rPr>
                <w:b/>
                <w:bCs/>
              </w:rPr>
            </w:pPr>
            <w:r w:rsidRPr="00CE65BF">
              <w:rPr>
                <w:b/>
                <w:bCs/>
              </w:rPr>
              <w:t>Participants and beneficiaries entitled to future benefits (but not receiving benefits)</w:t>
            </w:r>
          </w:p>
        </w:tc>
        <w:tc>
          <w:tcPr>
            <w:tcW w:w="2010" w:type="dxa"/>
            <w:shd w:val="clear" w:color="auto" w:fill="auto"/>
            <w:vAlign w:val="center"/>
          </w:tcPr>
          <w:p w14:paraId="784ADF8A" w14:textId="66978584" w:rsidR="001825B7" w:rsidRPr="00353312" w:rsidRDefault="005D3395" w:rsidP="001825B7">
            <w:pPr>
              <w:pStyle w:val="Tablecopy"/>
              <w:jc w:val="right"/>
              <w:rPr>
                <w:highlight w:val="yellow"/>
              </w:rPr>
            </w:pPr>
            <w:r>
              <w:t>509</w:t>
            </w:r>
          </w:p>
        </w:tc>
        <w:tc>
          <w:tcPr>
            <w:tcW w:w="2010" w:type="dxa"/>
            <w:shd w:val="clear" w:color="auto" w:fill="auto"/>
            <w:vAlign w:val="center"/>
          </w:tcPr>
          <w:p w14:paraId="6B6EB8FA" w14:textId="17568B2E" w:rsidR="001825B7" w:rsidRPr="00353312" w:rsidRDefault="005D3395" w:rsidP="001825B7">
            <w:pPr>
              <w:pStyle w:val="Tablecopy"/>
              <w:jc w:val="right"/>
              <w:rPr>
                <w:highlight w:val="yellow"/>
              </w:rPr>
            </w:pPr>
            <w:r>
              <w:t>497</w:t>
            </w:r>
          </w:p>
        </w:tc>
        <w:tc>
          <w:tcPr>
            <w:tcW w:w="2010" w:type="dxa"/>
            <w:shd w:val="clear" w:color="auto" w:fill="auto"/>
            <w:vAlign w:val="center"/>
          </w:tcPr>
          <w:p w14:paraId="11BB34CD" w14:textId="6B264400" w:rsidR="001825B7" w:rsidRPr="00353312" w:rsidRDefault="005D3395" w:rsidP="001825B7">
            <w:pPr>
              <w:pStyle w:val="Tablecopy"/>
              <w:jc w:val="right"/>
              <w:rPr>
                <w:highlight w:val="yellow"/>
              </w:rPr>
            </w:pPr>
            <w:r>
              <w:t>516</w:t>
            </w:r>
          </w:p>
        </w:tc>
      </w:tr>
      <w:tr w:rsidR="001825B7" w:rsidRPr="0062684F" w14:paraId="6F782CAD" w14:textId="77777777" w:rsidTr="0066721B">
        <w:trPr>
          <w:cantSplit/>
          <w:tblCellSpacing w:w="0" w:type="dxa"/>
          <w:jc w:val="center"/>
        </w:trPr>
        <w:tc>
          <w:tcPr>
            <w:tcW w:w="3510" w:type="dxa"/>
            <w:shd w:val="clear" w:color="auto" w:fill="auto"/>
            <w:vAlign w:val="center"/>
          </w:tcPr>
          <w:p w14:paraId="5A7520B9" w14:textId="5B6E1AD0" w:rsidR="001825B7" w:rsidRPr="00E664F3" w:rsidRDefault="001825B7" w:rsidP="001825B7">
            <w:pPr>
              <w:pStyle w:val="Tablecopy"/>
              <w:numPr>
                <w:ilvl w:val="0"/>
                <w:numId w:val="13"/>
              </w:numPr>
              <w:ind w:left="370"/>
              <w:rPr>
                <w:b/>
                <w:bCs/>
              </w:rPr>
            </w:pPr>
            <w:r>
              <w:rPr>
                <w:b/>
                <w:bCs/>
              </w:rPr>
              <w:t>Total number of covered participants and beneficiaries (Lines 2 + 3 + 4 = 5)</w:t>
            </w:r>
          </w:p>
        </w:tc>
        <w:tc>
          <w:tcPr>
            <w:tcW w:w="2010" w:type="dxa"/>
            <w:shd w:val="clear" w:color="auto" w:fill="auto"/>
            <w:vAlign w:val="center"/>
          </w:tcPr>
          <w:p w14:paraId="5A7539A3" w14:textId="5DB8A8E4" w:rsidR="001825B7" w:rsidRPr="00CE65BF" w:rsidRDefault="005D3395" w:rsidP="001825B7">
            <w:pPr>
              <w:pStyle w:val="Tablecopy"/>
              <w:jc w:val="right"/>
            </w:pPr>
            <w:r>
              <w:t>2,675</w:t>
            </w:r>
          </w:p>
        </w:tc>
        <w:tc>
          <w:tcPr>
            <w:tcW w:w="2010" w:type="dxa"/>
            <w:shd w:val="clear" w:color="auto" w:fill="auto"/>
            <w:vAlign w:val="center"/>
          </w:tcPr>
          <w:p w14:paraId="5E3119A6" w14:textId="2CDF6370" w:rsidR="001825B7" w:rsidRPr="00CE65BF" w:rsidRDefault="005D3395" w:rsidP="001825B7">
            <w:pPr>
              <w:pStyle w:val="Tablecopy"/>
              <w:jc w:val="right"/>
            </w:pPr>
            <w:r>
              <w:t>2,690</w:t>
            </w:r>
          </w:p>
        </w:tc>
        <w:tc>
          <w:tcPr>
            <w:tcW w:w="2010" w:type="dxa"/>
            <w:shd w:val="clear" w:color="auto" w:fill="auto"/>
            <w:vAlign w:val="center"/>
          </w:tcPr>
          <w:p w14:paraId="1CB1E3AD" w14:textId="26135927" w:rsidR="001825B7" w:rsidRPr="00CE65BF" w:rsidRDefault="005D3395" w:rsidP="001825B7">
            <w:pPr>
              <w:pStyle w:val="Tablecopy"/>
              <w:jc w:val="right"/>
            </w:pPr>
            <w:r>
              <w:t>2,704</w:t>
            </w:r>
          </w:p>
        </w:tc>
      </w:tr>
    </w:tbl>
    <w:p w14:paraId="71FA03A2" w14:textId="3035BF99" w:rsidR="00B9380B" w:rsidRDefault="00B9380B" w:rsidP="00791782">
      <w:pPr>
        <w:pStyle w:val="AonBodyCopy"/>
        <w:rPr>
          <w:i/>
          <w:iCs/>
          <w:color w:val="000000"/>
        </w:rPr>
      </w:pPr>
    </w:p>
    <w:p w14:paraId="19042627" w14:textId="77777777" w:rsidR="00B9380B" w:rsidRDefault="00B9380B">
      <w:pPr>
        <w:rPr>
          <w:i/>
          <w:iCs/>
          <w:color w:val="000000"/>
        </w:rPr>
      </w:pPr>
      <w:r>
        <w:rPr>
          <w:i/>
          <w:iCs/>
          <w:color w:val="000000"/>
        </w:rPr>
        <w:br w:type="page"/>
      </w:r>
    </w:p>
    <w:p w14:paraId="372DB83E" w14:textId="77777777" w:rsidR="00791782" w:rsidRPr="009E232D" w:rsidRDefault="00791782" w:rsidP="00791782">
      <w:pPr>
        <w:pStyle w:val="Heading5"/>
      </w:pPr>
      <w:r w:rsidRPr="009E232D">
        <w:lastRenderedPageBreak/>
        <w:t xml:space="preserve">Funding &amp; Investment Policies </w:t>
      </w:r>
    </w:p>
    <w:p w14:paraId="439ACD84" w14:textId="4FCE0A57" w:rsidR="0063540E" w:rsidRPr="00353312" w:rsidRDefault="00382670" w:rsidP="0063540E">
      <w:pPr>
        <w:pStyle w:val="AonBodyCopy"/>
      </w:pPr>
      <w:r>
        <w:rPr>
          <w:b/>
          <w:bCs/>
        </w:rPr>
        <w:br/>
      </w:r>
      <w:r w:rsidR="00A14E62" w:rsidRPr="00A14E62">
        <w:rPr>
          <w:b/>
          <w:bCs/>
        </w:rPr>
        <w:t>Funding Policy</w:t>
      </w:r>
      <w:r>
        <w:rPr>
          <w:b/>
          <w:bCs/>
        </w:rPr>
        <w:br/>
      </w:r>
      <w:r w:rsidR="00A14E62" w:rsidRPr="00A14E62">
        <w:t xml:space="preserve">Every pension plan must establish a funding policy to meet its objectives. The funding policy relates to how much money is needed to pay promised benefits. </w:t>
      </w:r>
      <w:bookmarkStart w:id="4" w:name="ARPS_2"/>
      <w:r w:rsidR="005347F6">
        <w:t>The Plan’s funding policy</w:t>
      </w:r>
      <w:r w:rsidR="0063540E">
        <w:t xml:space="preserve"> is to contribute no less frequently than annually an amount at least equal to the minimum contribution required by law. PanTeXas Deterrence, LLC may, with approval from the Department of Energy, contribute amounts in excess of the minimum required contribution, but not more than the maximum tax-deductible level allowed.</w:t>
      </w:r>
      <w:bookmarkEnd w:id="4"/>
      <w:r w:rsidR="0063540E" w:rsidRPr="00353312">
        <w:t xml:space="preserve"> </w:t>
      </w:r>
    </w:p>
    <w:p w14:paraId="157784CE" w14:textId="5EF1B457" w:rsidR="0063540E" w:rsidRPr="00353312" w:rsidRDefault="00A14E62" w:rsidP="0063540E">
      <w:pPr>
        <w:pStyle w:val="AonBodyCopy"/>
      </w:pPr>
      <w:r w:rsidRPr="00A14E62">
        <w:rPr>
          <w:b/>
          <w:bCs/>
        </w:rPr>
        <w:t>Investment Policy</w:t>
      </w:r>
      <w:r w:rsidR="00382670">
        <w:rPr>
          <w:b/>
          <w:bCs/>
        </w:rPr>
        <w:br/>
      </w:r>
      <w:r w:rsidRPr="00A14E62">
        <w:t xml:space="preserve">Pension plans also have investment policies that provide guidelines for making investment management decisions. The Plan’s investment policy is </w:t>
      </w:r>
      <w:bookmarkStart w:id="5" w:name="ARPS_306"/>
      <w:r w:rsidR="0063540E">
        <w:t>to ensure, over the long-term life of the Plan, an adequate pool of assets through investment growth and contributions to support the benefit obligations to participants, retirees and beneficiaries. In meeting this objective, the Plan seeks the opportunity to achieve adequate returns to fund the Plan’s obligations in a manner consistent with the fiduciary standards of ERISA and with a prudent level of diversification.</w:t>
      </w:r>
      <w:bookmarkEnd w:id="5"/>
    </w:p>
    <w:p w14:paraId="20E6CED9" w14:textId="77777777" w:rsidR="00A14E62" w:rsidRPr="00A14E62" w:rsidRDefault="00A14E62" w:rsidP="00A14E62">
      <w:pPr>
        <w:pStyle w:val="AonBodyCopy"/>
      </w:pPr>
      <w:r w:rsidRPr="00A14E62">
        <w:t>As of the end of the Plan Year, the Plan’s assets were allocated among the following investment categories as percentages of total assets:</w:t>
      </w:r>
    </w:p>
    <w:p w14:paraId="29572925" w14:textId="77777777" w:rsidR="00791782" w:rsidRDefault="00791782" w:rsidP="00791782">
      <w:pPr>
        <w:ind w:left="119"/>
        <w:rPr>
          <w:rFonts w:eastAsia="Book Antiqua" w:cs="Arial"/>
          <w:b/>
          <w:bCs/>
          <w:iCs/>
          <w:spacing w:val="-1"/>
        </w:rPr>
      </w:pPr>
    </w:p>
    <w:tbl>
      <w:tblPr>
        <w:tblW w:w="4692" w:type="pct"/>
        <w:tblCellSpacing w:w="0" w:type="dxa"/>
        <w:tblCellMar>
          <w:top w:w="15" w:type="dxa"/>
          <w:left w:w="15" w:type="dxa"/>
          <w:bottom w:w="15" w:type="dxa"/>
          <w:right w:w="15" w:type="dxa"/>
        </w:tblCellMar>
        <w:tblLook w:val="0000" w:firstRow="0" w:lastRow="0" w:firstColumn="0" w:lastColumn="0" w:noHBand="0" w:noVBand="0"/>
      </w:tblPr>
      <w:tblGrid>
        <w:gridCol w:w="7288"/>
        <w:gridCol w:w="1495"/>
      </w:tblGrid>
      <w:tr w:rsidR="00791782" w:rsidRPr="009128F8" w14:paraId="7BF934CB" w14:textId="77777777">
        <w:trPr>
          <w:cantSplit/>
          <w:tblHeader/>
          <w:tblCellSpacing w:w="0" w:type="dxa"/>
        </w:trPr>
        <w:tc>
          <w:tcPr>
            <w:tcW w:w="4145" w:type="pct"/>
            <w:tcBorders>
              <w:bottom w:val="single" w:sz="8" w:space="0" w:color="808080"/>
            </w:tcBorders>
            <w:shd w:val="clear" w:color="auto" w:fill="auto"/>
            <w:vAlign w:val="bottom"/>
          </w:tcPr>
          <w:p w14:paraId="0FD247F6" w14:textId="77777777" w:rsidR="00791782" w:rsidRPr="009128F8" w:rsidRDefault="00791782">
            <w:pPr>
              <w:pStyle w:val="TableColumnHead"/>
              <w:ind w:left="-1"/>
            </w:pPr>
            <w:r w:rsidRPr="009128F8">
              <w:t>Asset Allocations</w:t>
            </w:r>
          </w:p>
        </w:tc>
        <w:tc>
          <w:tcPr>
            <w:tcW w:w="850" w:type="pct"/>
            <w:tcBorders>
              <w:bottom w:val="single" w:sz="8" w:space="0" w:color="808080"/>
            </w:tcBorders>
            <w:shd w:val="clear" w:color="auto" w:fill="auto"/>
            <w:vAlign w:val="bottom"/>
          </w:tcPr>
          <w:p w14:paraId="111F61D7" w14:textId="77777777" w:rsidR="00791782" w:rsidRPr="009128F8" w:rsidRDefault="00791782">
            <w:pPr>
              <w:pStyle w:val="TableColumnHead"/>
              <w:ind w:left="-1"/>
              <w:jc w:val="right"/>
            </w:pPr>
            <w:r w:rsidRPr="009128F8">
              <w:t>Percentage</w:t>
            </w:r>
          </w:p>
        </w:tc>
      </w:tr>
      <w:tr w:rsidR="00791782" w:rsidRPr="00353312" w14:paraId="72285F6E" w14:textId="77777777">
        <w:trPr>
          <w:cantSplit/>
          <w:tblCellSpacing w:w="0" w:type="dxa"/>
        </w:trPr>
        <w:tc>
          <w:tcPr>
            <w:tcW w:w="4145" w:type="pct"/>
            <w:shd w:val="clear" w:color="auto" w:fill="auto"/>
          </w:tcPr>
          <w:p w14:paraId="226B38B9" w14:textId="6A37FDC2" w:rsidR="00791782" w:rsidRPr="00223410" w:rsidRDefault="00791782">
            <w:r>
              <w:t xml:space="preserve">Public </w:t>
            </w:r>
            <w:r w:rsidR="00A14E62">
              <w:t>e</w:t>
            </w:r>
            <w:r>
              <w:t>quity</w:t>
            </w:r>
          </w:p>
        </w:tc>
        <w:tc>
          <w:tcPr>
            <w:tcW w:w="850" w:type="pct"/>
            <w:shd w:val="clear" w:color="auto" w:fill="auto"/>
          </w:tcPr>
          <w:p w14:paraId="066BD71E" w14:textId="6F6503D8" w:rsidR="00791782" w:rsidRPr="00353312" w:rsidRDefault="0063540E">
            <w:pPr>
              <w:pStyle w:val="Tablecopy"/>
              <w:jc w:val="right"/>
              <w:rPr>
                <w:highlight w:val="yellow"/>
              </w:rPr>
            </w:pPr>
            <w:r>
              <w:rPr>
                <w:bCs/>
              </w:rPr>
              <w:t>44.5</w:t>
            </w:r>
            <w:r w:rsidR="00791782">
              <w:rPr>
                <w:bCs/>
              </w:rPr>
              <w:t>%</w:t>
            </w:r>
          </w:p>
        </w:tc>
      </w:tr>
      <w:tr w:rsidR="00791782" w:rsidRPr="00353312" w14:paraId="6E641F36" w14:textId="77777777">
        <w:trPr>
          <w:cantSplit/>
          <w:tblCellSpacing w:w="0" w:type="dxa"/>
        </w:trPr>
        <w:tc>
          <w:tcPr>
            <w:tcW w:w="4145" w:type="pct"/>
            <w:shd w:val="clear" w:color="auto" w:fill="auto"/>
          </w:tcPr>
          <w:p w14:paraId="11E1EE62" w14:textId="7F5E0A67" w:rsidR="00791782" w:rsidRDefault="00791782">
            <w:r>
              <w:t xml:space="preserve">Private </w:t>
            </w:r>
            <w:r w:rsidR="00A14E62">
              <w:t>e</w:t>
            </w:r>
            <w:r>
              <w:t>quity</w:t>
            </w:r>
          </w:p>
        </w:tc>
        <w:tc>
          <w:tcPr>
            <w:tcW w:w="850" w:type="pct"/>
            <w:shd w:val="clear" w:color="auto" w:fill="auto"/>
          </w:tcPr>
          <w:p w14:paraId="2382DCFA" w14:textId="77777777" w:rsidR="00791782" w:rsidRDefault="00791782">
            <w:pPr>
              <w:pStyle w:val="Tablecopy"/>
              <w:jc w:val="right"/>
              <w:rPr>
                <w:bCs/>
              </w:rPr>
            </w:pPr>
            <w:r>
              <w:rPr>
                <w:bCs/>
              </w:rPr>
              <w:t>0.0%</w:t>
            </w:r>
          </w:p>
        </w:tc>
      </w:tr>
      <w:tr w:rsidR="00791782" w:rsidRPr="00353312" w14:paraId="28AD3316" w14:textId="77777777">
        <w:trPr>
          <w:cantSplit/>
          <w:tblCellSpacing w:w="0" w:type="dxa"/>
        </w:trPr>
        <w:tc>
          <w:tcPr>
            <w:tcW w:w="4145" w:type="pct"/>
            <w:shd w:val="clear" w:color="auto" w:fill="auto"/>
          </w:tcPr>
          <w:p w14:paraId="120E43E5" w14:textId="23A31F66" w:rsidR="00791782" w:rsidRPr="00223410" w:rsidRDefault="00791782">
            <w:r w:rsidRPr="00223410">
              <w:t>Investment</w:t>
            </w:r>
            <w:r>
              <w:t>-</w:t>
            </w:r>
            <w:r w:rsidR="00A14E62">
              <w:t>g</w:t>
            </w:r>
            <w:r w:rsidRPr="00223410">
              <w:t xml:space="preserve">rade </w:t>
            </w:r>
            <w:r w:rsidR="00A14E62">
              <w:t>debt instruments</w:t>
            </w:r>
          </w:p>
        </w:tc>
        <w:tc>
          <w:tcPr>
            <w:tcW w:w="850" w:type="pct"/>
            <w:shd w:val="clear" w:color="auto" w:fill="auto"/>
          </w:tcPr>
          <w:p w14:paraId="484F639C" w14:textId="2CC566F7" w:rsidR="00791782" w:rsidRPr="00353312" w:rsidRDefault="0063540E">
            <w:pPr>
              <w:pStyle w:val="Tablecopy"/>
              <w:jc w:val="right"/>
              <w:rPr>
                <w:highlight w:val="yellow"/>
              </w:rPr>
            </w:pPr>
            <w:r>
              <w:rPr>
                <w:bCs/>
              </w:rPr>
              <w:t>35.3</w:t>
            </w:r>
            <w:r w:rsidR="00791782">
              <w:rPr>
                <w:bCs/>
              </w:rPr>
              <w:t>%</w:t>
            </w:r>
          </w:p>
        </w:tc>
      </w:tr>
      <w:tr w:rsidR="00791782" w:rsidRPr="00353312" w14:paraId="28791F6B" w14:textId="77777777">
        <w:trPr>
          <w:cantSplit/>
          <w:tblCellSpacing w:w="0" w:type="dxa"/>
        </w:trPr>
        <w:tc>
          <w:tcPr>
            <w:tcW w:w="4145" w:type="pct"/>
            <w:shd w:val="clear" w:color="auto" w:fill="auto"/>
          </w:tcPr>
          <w:p w14:paraId="178D9D8C" w14:textId="096C9D40" w:rsidR="00791782" w:rsidRPr="00223410" w:rsidRDefault="00791782">
            <w:r w:rsidRPr="00223410">
              <w:t>High-</w:t>
            </w:r>
            <w:r w:rsidR="00A14E62">
              <w:t>y</w:t>
            </w:r>
            <w:r w:rsidRPr="00223410">
              <w:t xml:space="preserve">ield </w:t>
            </w:r>
            <w:r w:rsidR="00A14E62">
              <w:t>d</w:t>
            </w:r>
            <w:r w:rsidRPr="00223410">
              <w:t xml:space="preserve">ebt </w:t>
            </w:r>
            <w:r w:rsidR="00A14E62">
              <w:t>instruments</w:t>
            </w:r>
          </w:p>
        </w:tc>
        <w:tc>
          <w:tcPr>
            <w:tcW w:w="850" w:type="pct"/>
            <w:shd w:val="clear" w:color="auto" w:fill="auto"/>
          </w:tcPr>
          <w:p w14:paraId="2EE1D36F" w14:textId="1A74ED07" w:rsidR="00791782" w:rsidRPr="00353312" w:rsidRDefault="0063540E">
            <w:pPr>
              <w:pStyle w:val="Tablecopy"/>
              <w:jc w:val="right"/>
              <w:rPr>
                <w:highlight w:val="yellow"/>
              </w:rPr>
            </w:pPr>
            <w:r>
              <w:rPr>
                <w:bCs/>
              </w:rPr>
              <w:t>6.8</w:t>
            </w:r>
            <w:r w:rsidR="00791782">
              <w:rPr>
                <w:bCs/>
              </w:rPr>
              <w:t>%</w:t>
            </w:r>
          </w:p>
        </w:tc>
      </w:tr>
      <w:tr w:rsidR="00791782" w:rsidRPr="00353312" w14:paraId="12BA1149" w14:textId="77777777">
        <w:trPr>
          <w:cantSplit/>
          <w:tblCellSpacing w:w="0" w:type="dxa"/>
        </w:trPr>
        <w:tc>
          <w:tcPr>
            <w:tcW w:w="4145" w:type="pct"/>
            <w:shd w:val="clear" w:color="auto" w:fill="auto"/>
          </w:tcPr>
          <w:p w14:paraId="49B71A65" w14:textId="4C6B3D43" w:rsidR="00791782" w:rsidRPr="00223410" w:rsidRDefault="00A14E62">
            <w:r>
              <w:t>Cash and cash equivalents</w:t>
            </w:r>
          </w:p>
        </w:tc>
        <w:tc>
          <w:tcPr>
            <w:tcW w:w="850" w:type="pct"/>
            <w:shd w:val="clear" w:color="auto" w:fill="auto"/>
          </w:tcPr>
          <w:p w14:paraId="107C7C52" w14:textId="37656802" w:rsidR="00791782" w:rsidRPr="00353312" w:rsidRDefault="0063540E">
            <w:pPr>
              <w:pStyle w:val="Tablecopy"/>
              <w:jc w:val="right"/>
              <w:rPr>
                <w:highlight w:val="yellow"/>
              </w:rPr>
            </w:pPr>
            <w:r>
              <w:rPr>
                <w:bCs/>
              </w:rPr>
              <w:t>12.8</w:t>
            </w:r>
            <w:r w:rsidR="00791782">
              <w:rPr>
                <w:bCs/>
              </w:rPr>
              <w:t>%</w:t>
            </w:r>
          </w:p>
        </w:tc>
      </w:tr>
      <w:tr w:rsidR="00791782" w:rsidRPr="00353312" w14:paraId="3EFE0FA0" w14:textId="77777777">
        <w:trPr>
          <w:cantSplit/>
          <w:tblCellSpacing w:w="0" w:type="dxa"/>
        </w:trPr>
        <w:tc>
          <w:tcPr>
            <w:tcW w:w="4145" w:type="pct"/>
            <w:shd w:val="clear" w:color="auto" w:fill="auto"/>
          </w:tcPr>
          <w:p w14:paraId="0735D98A" w14:textId="771DFCFD" w:rsidR="00791782" w:rsidRPr="00223410" w:rsidRDefault="00A14E62">
            <w:r>
              <w:t>Real Estate</w:t>
            </w:r>
          </w:p>
        </w:tc>
        <w:tc>
          <w:tcPr>
            <w:tcW w:w="850" w:type="pct"/>
            <w:shd w:val="clear" w:color="auto" w:fill="auto"/>
          </w:tcPr>
          <w:p w14:paraId="37E74991" w14:textId="566448D0" w:rsidR="00791782" w:rsidRDefault="00791782">
            <w:pPr>
              <w:pStyle w:val="Tablecopy"/>
              <w:jc w:val="right"/>
              <w:rPr>
                <w:bCs/>
              </w:rPr>
            </w:pPr>
            <w:r>
              <w:rPr>
                <w:bCs/>
              </w:rPr>
              <w:t>0.</w:t>
            </w:r>
            <w:r w:rsidR="0063540E">
              <w:rPr>
                <w:bCs/>
              </w:rPr>
              <w:t>6</w:t>
            </w:r>
            <w:r>
              <w:rPr>
                <w:bCs/>
              </w:rPr>
              <w:t>%</w:t>
            </w:r>
          </w:p>
        </w:tc>
      </w:tr>
      <w:tr w:rsidR="00791782" w:rsidRPr="00353312" w14:paraId="1985806A" w14:textId="77777777">
        <w:trPr>
          <w:cantSplit/>
          <w:tblCellSpacing w:w="0" w:type="dxa"/>
        </w:trPr>
        <w:tc>
          <w:tcPr>
            <w:tcW w:w="4145" w:type="pct"/>
            <w:shd w:val="clear" w:color="auto" w:fill="auto"/>
          </w:tcPr>
          <w:p w14:paraId="33AA3FB2" w14:textId="77777777" w:rsidR="00791782" w:rsidRDefault="00791782">
            <w:r w:rsidRPr="00223410">
              <w:t>Other</w:t>
            </w:r>
          </w:p>
        </w:tc>
        <w:tc>
          <w:tcPr>
            <w:tcW w:w="850" w:type="pct"/>
            <w:shd w:val="clear" w:color="auto" w:fill="auto"/>
          </w:tcPr>
          <w:p w14:paraId="255A6FF3" w14:textId="77777777" w:rsidR="00791782" w:rsidRPr="00353312" w:rsidRDefault="00791782">
            <w:pPr>
              <w:pStyle w:val="Tablecopy"/>
              <w:jc w:val="right"/>
              <w:rPr>
                <w:highlight w:val="yellow"/>
              </w:rPr>
            </w:pPr>
            <w:r>
              <w:rPr>
                <w:bCs/>
              </w:rPr>
              <w:t>0.0%</w:t>
            </w:r>
          </w:p>
        </w:tc>
      </w:tr>
    </w:tbl>
    <w:p w14:paraId="319C32C2" w14:textId="77777777" w:rsidR="00791782" w:rsidRDefault="00791782" w:rsidP="00791782">
      <w:pPr>
        <w:ind w:left="119"/>
        <w:rPr>
          <w:rFonts w:eastAsia="Book Antiqua" w:cs="Arial"/>
          <w:b/>
          <w:bCs/>
          <w:iCs/>
          <w:spacing w:val="-1"/>
        </w:rPr>
      </w:pPr>
    </w:p>
    <w:p w14:paraId="1A8B422A" w14:textId="425203E7" w:rsidR="00D43AB8" w:rsidRDefault="00A14E62" w:rsidP="0004277C">
      <w:pPr>
        <w:spacing w:before="71"/>
        <w:ind w:right="807"/>
      </w:pPr>
      <w:r w:rsidRPr="00A14E62">
        <w:t xml:space="preserve">The average return on assets for the Plan Year was </w:t>
      </w:r>
      <w:r w:rsidR="0063540E">
        <w:t>-1.3</w:t>
      </w:r>
      <w:r w:rsidR="00B9380B">
        <w:t>1</w:t>
      </w:r>
      <w:r w:rsidR="0063540E">
        <w:t>%.</w:t>
      </w:r>
    </w:p>
    <w:p w14:paraId="1B60996D" w14:textId="77777777" w:rsidR="001E5DDD" w:rsidRDefault="001E5DDD" w:rsidP="001E5DDD">
      <w:pPr>
        <w:spacing w:before="71"/>
        <w:ind w:right="807"/>
        <w:rPr>
          <w:i/>
          <w:iCs/>
          <w:sz w:val="16"/>
          <w:szCs w:val="16"/>
        </w:rPr>
      </w:pPr>
    </w:p>
    <w:p w14:paraId="148DF607" w14:textId="77777777" w:rsidR="00B24B97" w:rsidRPr="00B30122" w:rsidRDefault="00B24B97" w:rsidP="00B24B97">
      <w:pPr>
        <w:pStyle w:val="Heading5"/>
      </w:pPr>
      <w:r w:rsidRPr="00B30122">
        <w:t xml:space="preserve">Right to Request a Copy of the Annual Report </w:t>
      </w:r>
    </w:p>
    <w:p w14:paraId="21406EFF" w14:textId="77777777" w:rsidR="00413241" w:rsidRDefault="00413241" w:rsidP="00413241">
      <w:pPr>
        <w:pStyle w:val="Heading5"/>
        <w:rPr>
          <w:rFonts w:eastAsia="MS Mincho"/>
          <w:b w:val="0"/>
          <w:iCs w:val="0"/>
          <w:szCs w:val="20"/>
        </w:rPr>
      </w:pPr>
      <w:r w:rsidRPr="00CD2E76">
        <w:rPr>
          <w:rFonts w:eastAsia="MS Mincho"/>
          <w:b w:val="0"/>
          <w:iCs w:val="0"/>
          <w:szCs w:val="20"/>
        </w:rPr>
        <w:t>Pension plans must file an annual report, called the </w:t>
      </w:r>
      <w:r w:rsidRPr="00CD2E76">
        <w:rPr>
          <w:rFonts w:eastAsia="MS Mincho"/>
          <w:bCs/>
          <w:iCs w:val="0"/>
          <w:szCs w:val="20"/>
        </w:rPr>
        <w:t>Form 5500</w:t>
      </w:r>
      <w:r w:rsidRPr="00CD2E76">
        <w:rPr>
          <w:rFonts w:eastAsia="MS Mincho"/>
          <w:b w:val="0"/>
          <w:iCs w:val="0"/>
          <w:szCs w:val="20"/>
        </w:rPr>
        <w:t>, with the U.S. Department of Labor. The Form 5500 includes financial and other information about these pension plans.</w:t>
      </w:r>
    </w:p>
    <w:p w14:paraId="317026B1" w14:textId="77777777" w:rsidR="00413241" w:rsidRPr="00413241" w:rsidRDefault="00413241" w:rsidP="00CD2E76"/>
    <w:p w14:paraId="3FEEE9B4" w14:textId="77777777" w:rsidR="00413241" w:rsidRPr="00B9380B" w:rsidRDefault="00413241" w:rsidP="00413241">
      <w:pPr>
        <w:pStyle w:val="Heading5"/>
        <w:rPr>
          <w:rFonts w:eastAsia="MS Mincho"/>
          <w:b w:val="0"/>
          <w:iCs w:val="0"/>
          <w:szCs w:val="20"/>
        </w:rPr>
      </w:pPr>
      <w:r w:rsidRPr="00CD2E76">
        <w:rPr>
          <w:rFonts w:eastAsia="MS Mincho"/>
          <w:b w:val="0"/>
          <w:iCs w:val="0"/>
          <w:szCs w:val="20"/>
        </w:rPr>
        <w:t xml:space="preserve">You </w:t>
      </w:r>
      <w:r w:rsidRPr="00B9380B">
        <w:rPr>
          <w:rFonts w:eastAsia="MS Mincho"/>
          <w:b w:val="0"/>
          <w:iCs w:val="0"/>
          <w:szCs w:val="20"/>
        </w:rPr>
        <w:t>can get a copy of your Plan’s Form 5500:</w:t>
      </w:r>
    </w:p>
    <w:p w14:paraId="4B8879A7" w14:textId="205E88FF" w:rsidR="00413241" w:rsidRPr="00B9380B" w:rsidRDefault="00413241" w:rsidP="00F87F74">
      <w:pPr>
        <w:pStyle w:val="Heading5"/>
        <w:numPr>
          <w:ilvl w:val="0"/>
          <w:numId w:val="15"/>
        </w:numPr>
        <w:rPr>
          <w:rFonts w:eastAsia="MS Mincho"/>
          <w:b w:val="0"/>
          <w:bCs/>
          <w:iCs w:val="0"/>
          <w:szCs w:val="20"/>
        </w:rPr>
      </w:pPr>
      <w:r w:rsidRPr="00B9380B">
        <w:rPr>
          <w:bCs/>
        </w:rPr>
        <w:t>Online:</w:t>
      </w:r>
      <w:r w:rsidRPr="00B9380B">
        <w:t> </w:t>
      </w:r>
      <w:r w:rsidRPr="00B9380B">
        <w:rPr>
          <w:rFonts w:eastAsia="MS Mincho"/>
          <w:b w:val="0"/>
          <w:iCs w:val="0"/>
          <w:szCs w:val="20"/>
        </w:rPr>
        <w:t>Visit</w:t>
      </w:r>
      <w:r w:rsidR="00CD2E76" w:rsidRPr="00B9380B">
        <w:rPr>
          <w:rFonts w:eastAsia="MS Mincho"/>
          <w:b w:val="0"/>
          <w:iCs w:val="0"/>
          <w:szCs w:val="20"/>
        </w:rPr>
        <w:t xml:space="preserve"> </w:t>
      </w:r>
      <w:hyperlink r:id="rId13" w:history="1">
        <w:r w:rsidR="00CD2E76" w:rsidRPr="00B9380B">
          <w:rPr>
            <w:rStyle w:val="Hyperlink"/>
            <w:b w:val="0"/>
            <w:iCs w:val="0"/>
            <w:szCs w:val="20"/>
          </w:rPr>
          <w:t>www.efast.dol.gov</w:t>
        </w:r>
      </w:hyperlink>
      <w:r w:rsidR="00CD2E76" w:rsidRPr="00B9380B">
        <w:rPr>
          <w:rFonts w:eastAsia="MS Mincho"/>
          <w:b w:val="0"/>
          <w:iCs w:val="0"/>
          <w:szCs w:val="20"/>
        </w:rPr>
        <w:t xml:space="preserve"> </w:t>
      </w:r>
      <w:r w:rsidRPr="00B9380B">
        <w:rPr>
          <w:rFonts w:eastAsia="MS Mincho"/>
          <w:b w:val="0"/>
          <w:iCs w:val="0"/>
          <w:szCs w:val="20"/>
        </w:rPr>
        <w:t xml:space="preserve">to search for your plan’s Form 5500. </w:t>
      </w:r>
    </w:p>
    <w:p w14:paraId="4DAFDEA6" w14:textId="77777777" w:rsidR="00413241" w:rsidRPr="00CD2E76" w:rsidRDefault="00413241" w:rsidP="00413241">
      <w:pPr>
        <w:pStyle w:val="Heading5"/>
        <w:numPr>
          <w:ilvl w:val="0"/>
          <w:numId w:val="15"/>
        </w:numPr>
        <w:rPr>
          <w:rFonts w:eastAsia="MS Mincho"/>
          <w:b w:val="0"/>
          <w:iCs w:val="0"/>
          <w:szCs w:val="20"/>
        </w:rPr>
      </w:pPr>
      <w:r w:rsidRPr="00B9380B">
        <w:rPr>
          <w:bCs/>
        </w:rPr>
        <w:t xml:space="preserve">By </w:t>
      </w:r>
      <w:r w:rsidRPr="00413241">
        <w:rPr>
          <w:bCs/>
        </w:rPr>
        <w:t>Mail:</w:t>
      </w:r>
      <w:r w:rsidRPr="00413241">
        <w:t> </w:t>
      </w:r>
      <w:r w:rsidRPr="00CD2E76">
        <w:rPr>
          <w:rFonts w:eastAsia="MS Mincho"/>
          <w:b w:val="0"/>
          <w:iCs w:val="0"/>
          <w:szCs w:val="20"/>
        </w:rPr>
        <w:t>Submit a written request to your plan administrator.</w:t>
      </w:r>
    </w:p>
    <w:p w14:paraId="6EFD5E1E" w14:textId="77777777" w:rsidR="00413241" w:rsidRPr="00CD2E76" w:rsidRDefault="00413241" w:rsidP="00413241">
      <w:pPr>
        <w:pStyle w:val="Heading5"/>
        <w:numPr>
          <w:ilvl w:val="0"/>
          <w:numId w:val="15"/>
        </w:numPr>
        <w:rPr>
          <w:rFonts w:eastAsia="MS Mincho"/>
          <w:b w:val="0"/>
          <w:iCs w:val="0"/>
          <w:szCs w:val="20"/>
        </w:rPr>
      </w:pPr>
      <w:r w:rsidRPr="00413241">
        <w:rPr>
          <w:bCs/>
        </w:rPr>
        <w:t>By Phone:</w:t>
      </w:r>
      <w:r w:rsidRPr="00413241">
        <w:t> </w:t>
      </w:r>
      <w:r w:rsidRPr="00CD2E76">
        <w:rPr>
          <w:rFonts w:eastAsia="MS Mincho"/>
          <w:b w:val="0"/>
          <w:iCs w:val="0"/>
          <w:szCs w:val="20"/>
        </w:rPr>
        <w:t>Call </w:t>
      </w:r>
      <w:hyperlink r:id="rId14" w:history="1">
        <w:r w:rsidRPr="00CD2E76">
          <w:rPr>
            <w:rFonts w:eastAsia="MS Mincho"/>
            <w:b w:val="0"/>
            <w:iCs w:val="0"/>
            <w:szCs w:val="20"/>
          </w:rPr>
          <w:t>(202) 693-8673</w:t>
        </w:r>
      </w:hyperlink>
      <w:r w:rsidRPr="00CD2E76">
        <w:rPr>
          <w:rFonts w:eastAsia="MS Mincho"/>
          <w:b w:val="0"/>
          <w:iCs w:val="0"/>
          <w:szCs w:val="20"/>
        </w:rPr>
        <w:t> to speak with a representative of the U.S. Department of Labor, Employee Benefits Security Administration’s Public Disclosure Room.</w:t>
      </w:r>
    </w:p>
    <w:p w14:paraId="0910A09C" w14:textId="0442A86B" w:rsidR="00413241" w:rsidRDefault="00413241" w:rsidP="00413241">
      <w:pPr>
        <w:pStyle w:val="Heading5"/>
        <w:rPr>
          <w:rFonts w:eastAsia="MS Mincho"/>
          <w:b w:val="0"/>
          <w:iCs w:val="0"/>
          <w:szCs w:val="20"/>
        </w:rPr>
      </w:pPr>
      <w:r w:rsidRPr="00CD2E76">
        <w:rPr>
          <w:rFonts w:eastAsia="MS Mincho"/>
          <w:b w:val="0"/>
          <w:iCs w:val="0"/>
          <w:szCs w:val="20"/>
        </w:rPr>
        <w:t>The Form 5500 does not include personal information, such as your accrued benefits. For details about your accrued benefits, contact your plan administrator.</w:t>
      </w:r>
    </w:p>
    <w:p w14:paraId="7874D6E5" w14:textId="2D599FC8" w:rsidR="00E01871" w:rsidRDefault="00E01871">
      <w:r>
        <w:br w:type="page"/>
      </w:r>
    </w:p>
    <w:p w14:paraId="625395B8" w14:textId="77777777" w:rsidR="00B24B97" w:rsidRDefault="00B24B97" w:rsidP="00B24B97"/>
    <w:p w14:paraId="0093ACE0" w14:textId="77777777" w:rsidR="00B24B97" w:rsidRDefault="00B24B97" w:rsidP="00B24B97"/>
    <w:p w14:paraId="5F97A7D9" w14:textId="77777777" w:rsidR="00413241" w:rsidRPr="000D3733" w:rsidRDefault="00413241" w:rsidP="000D3733">
      <w:pPr>
        <w:pStyle w:val="Heading5"/>
      </w:pPr>
      <w:r w:rsidRPr="000D3733">
        <w:t>Termination Rules for Single-Employer Plans</w:t>
      </w:r>
    </w:p>
    <w:p w14:paraId="580F1F2D" w14:textId="77777777" w:rsidR="00413241" w:rsidRDefault="00413241" w:rsidP="00413241">
      <w:r w:rsidRPr="009D0C6F">
        <w:t>Federal law outlines specific rules for terminating a pension plan. There are three types of terminations:</w:t>
      </w:r>
    </w:p>
    <w:p w14:paraId="5231749B" w14:textId="77777777" w:rsidR="00413241" w:rsidRPr="009D0C6F" w:rsidRDefault="00413241" w:rsidP="00413241"/>
    <w:p w14:paraId="700B9A07" w14:textId="77777777" w:rsidR="00B24B97" w:rsidRDefault="00B24B97" w:rsidP="00413241">
      <w:pPr>
        <w:rPr>
          <w:rFonts w:eastAsia="Times New Roman"/>
          <w:b/>
          <w:bCs/>
          <w:iCs/>
          <w:szCs w:val="26"/>
        </w:rPr>
      </w:pPr>
    </w:p>
    <w:p w14:paraId="75C28C95" w14:textId="77777777" w:rsidR="00B24B97" w:rsidRDefault="00B24B97" w:rsidP="00413241">
      <w:pPr>
        <w:rPr>
          <w:rFonts w:eastAsia="Times New Roman"/>
          <w:b/>
          <w:bCs/>
          <w:iCs/>
          <w:szCs w:val="26"/>
        </w:rPr>
      </w:pPr>
    </w:p>
    <w:p w14:paraId="572BD80A" w14:textId="082104D1" w:rsidR="00413241" w:rsidRDefault="00413241" w:rsidP="00413241">
      <w:pPr>
        <w:rPr>
          <w:rFonts w:eastAsia="Times New Roman"/>
          <w:b/>
          <w:bCs/>
          <w:iCs/>
          <w:szCs w:val="26"/>
        </w:rPr>
      </w:pPr>
      <w:r w:rsidRPr="00413241">
        <w:rPr>
          <w:rFonts w:eastAsia="Times New Roman"/>
          <w:b/>
          <w:bCs/>
          <w:iCs/>
          <w:szCs w:val="26"/>
        </w:rPr>
        <w:t>Standard Termination</w:t>
      </w:r>
    </w:p>
    <w:p w14:paraId="480BD78A" w14:textId="77DDED73" w:rsidR="00413241" w:rsidRDefault="00413241" w:rsidP="00413241">
      <w:r w:rsidRPr="009D0C6F">
        <w:t>An employer can end a plan through a standard termination. However, the plan administrator must prove to PBGC that the plan has enough money to pay all benefits owed to participants.</w:t>
      </w:r>
    </w:p>
    <w:p w14:paraId="4DDB3B5B" w14:textId="77777777" w:rsidR="00382670" w:rsidRPr="009D0C6F" w:rsidRDefault="00382670" w:rsidP="00413241"/>
    <w:p w14:paraId="0958B628" w14:textId="77777777" w:rsidR="00413241" w:rsidRDefault="00413241" w:rsidP="00413241">
      <w:r w:rsidRPr="009D0C6F">
        <w:t>Under a standard termination, the plan must provide your benefits through one of the following methods:</w:t>
      </w:r>
    </w:p>
    <w:p w14:paraId="3DBBDDBA" w14:textId="77777777" w:rsidR="00382670" w:rsidRPr="009D0C6F" w:rsidRDefault="00382670" w:rsidP="00413241"/>
    <w:p w14:paraId="2B50DB06" w14:textId="77777777" w:rsidR="00413241" w:rsidRPr="00413241" w:rsidRDefault="00413241" w:rsidP="00413241">
      <w:pPr>
        <w:numPr>
          <w:ilvl w:val="0"/>
          <w:numId w:val="16"/>
        </w:numPr>
        <w:rPr>
          <w:rFonts w:eastAsia="Times New Roman"/>
          <w:b/>
          <w:iCs/>
          <w:szCs w:val="26"/>
        </w:rPr>
      </w:pPr>
      <w:r w:rsidRPr="00413241">
        <w:rPr>
          <w:rFonts w:eastAsia="Times New Roman"/>
          <w:b/>
          <w:bCs/>
          <w:iCs/>
          <w:szCs w:val="26"/>
        </w:rPr>
        <w:t>Periodic benefits:</w:t>
      </w:r>
      <w:r w:rsidRPr="00413241">
        <w:rPr>
          <w:rFonts w:eastAsia="Times New Roman"/>
          <w:b/>
          <w:iCs/>
          <w:szCs w:val="26"/>
        </w:rPr>
        <w:t> </w:t>
      </w:r>
      <w:r w:rsidRPr="009D0C6F">
        <w:t>The plan buys an annuity from an insurance company, ensuring you receive regular, generally monthly, retirement payments for life. Before purchasing the annuity, your plan administrator will notify you about the selected insurance company.</w:t>
      </w:r>
    </w:p>
    <w:p w14:paraId="57EF3B63" w14:textId="77777777" w:rsidR="00413241" w:rsidRPr="009D0C6F" w:rsidRDefault="00413241" w:rsidP="00413241">
      <w:pPr>
        <w:numPr>
          <w:ilvl w:val="0"/>
          <w:numId w:val="16"/>
        </w:numPr>
      </w:pPr>
      <w:r w:rsidRPr="00413241">
        <w:rPr>
          <w:rFonts w:eastAsia="Times New Roman"/>
          <w:b/>
          <w:bCs/>
          <w:iCs/>
          <w:szCs w:val="26"/>
        </w:rPr>
        <w:t>Lump-sum payment:</w:t>
      </w:r>
      <w:r w:rsidRPr="00413241">
        <w:rPr>
          <w:rFonts w:eastAsia="Times New Roman"/>
          <w:b/>
          <w:iCs/>
          <w:szCs w:val="26"/>
        </w:rPr>
        <w:t> </w:t>
      </w:r>
      <w:r w:rsidRPr="009D0C6F">
        <w:t>If the plan allows, you may elect a lump-sum payment that covers your entire benefit.</w:t>
      </w:r>
    </w:p>
    <w:p w14:paraId="0AC4875C" w14:textId="77777777" w:rsidR="00413241" w:rsidRDefault="00413241" w:rsidP="00413241">
      <w:pPr>
        <w:rPr>
          <w:rFonts w:eastAsia="Times New Roman"/>
          <w:b/>
          <w:iCs/>
          <w:szCs w:val="26"/>
        </w:rPr>
      </w:pPr>
    </w:p>
    <w:p w14:paraId="0FC62660" w14:textId="29ADC753" w:rsidR="00413241" w:rsidRDefault="00413241" w:rsidP="00413241">
      <w:r w:rsidRPr="009D0C6F">
        <w:t>PBGC’s guarantee ends once an annuity is purchased, or a lump sum is paid. If the insurance company providing the annuity becomes unable to pay your benefits, the applicable state guaranty association will step in, guaranteeing the annuity to the extent authorized by state law.</w:t>
      </w:r>
    </w:p>
    <w:p w14:paraId="245B4ED1" w14:textId="77777777" w:rsidR="00413241" w:rsidRPr="009D0C6F" w:rsidRDefault="00413241" w:rsidP="00413241"/>
    <w:p w14:paraId="3FBAE972" w14:textId="77777777" w:rsidR="00413241" w:rsidRDefault="00413241" w:rsidP="00413241">
      <w:pPr>
        <w:rPr>
          <w:rFonts w:eastAsia="Times New Roman"/>
          <w:b/>
          <w:bCs/>
          <w:iCs/>
          <w:szCs w:val="26"/>
        </w:rPr>
      </w:pPr>
      <w:r w:rsidRPr="00413241">
        <w:rPr>
          <w:rFonts w:eastAsia="Times New Roman"/>
          <w:b/>
          <w:bCs/>
          <w:iCs/>
          <w:szCs w:val="26"/>
        </w:rPr>
        <w:t>Distress Termination</w:t>
      </w:r>
    </w:p>
    <w:p w14:paraId="009A9994" w14:textId="77777777" w:rsidR="00413241" w:rsidRDefault="00413241" w:rsidP="00413241">
      <w:r w:rsidRPr="009D0C6F">
        <w:t>If a plan is not fully funded, the employer may apply for a distress termination. The employer must demonstrate financial distress and prove to either a bankruptcy court or PBGC that the employer’s business cannot survive unless the plan is terminated. If approved for a distress termination, PBGC will manage the plan as trustee, allocate the plan’s assets based on statutory priority categories, and pay guaranteed benefits up to the legal limits, using the plan’s assets and PBGC guarantee funds.</w:t>
      </w:r>
    </w:p>
    <w:p w14:paraId="30A00713" w14:textId="77777777" w:rsidR="00382670" w:rsidRDefault="00382670" w:rsidP="00413241"/>
    <w:p w14:paraId="46026A1A" w14:textId="77777777" w:rsidR="00413241" w:rsidRPr="00413241" w:rsidRDefault="00413241" w:rsidP="00413241">
      <w:pPr>
        <w:rPr>
          <w:rFonts w:eastAsia="Times New Roman"/>
          <w:b/>
          <w:bCs/>
          <w:iCs/>
          <w:szCs w:val="26"/>
        </w:rPr>
      </w:pPr>
      <w:r w:rsidRPr="00413241">
        <w:rPr>
          <w:rFonts w:eastAsia="Times New Roman"/>
          <w:b/>
          <w:bCs/>
          <w:iCs/>
          <w:szCs w:val="26"/>
        </w:rPr>
        <w:t>Involuntary Termination</w:t>
      </w:r>
    </w:p>
    <w:p w14:paraId="65AD4F25" w14:textId="77777777" w:rsidR="00413241" w:rsidRDefault="00413241" w:rsidP="00413241">
      <w:r w:rsidRPr="009D0C6F">
        <w:t>PBGC can terminate a plan on its own in certain situations, such as to protect plan participants or PBGC’s insurance program. In these cases, PBGC is appointed trustee and assumes responsibility for the plan.</w:t>
      </w:r>
    </w:p>
    <w:p w14:paraId="67A243D2" w14:textId="77777777" w:rsidR="00413241" w:rsidRPr="00532500" w:rsidRDefault="00413241" w:rsidP="00413241"/>
    <w:p w14:paraId="44C232BB" w14:textId="23607ED8" w:rsidR="00413241" w:rsidRDefault="00413241" w:rsidP="00532500">
      <w:r w:rsidRPr="00532500">
        <w:t>Learn more about single-employer plan terminations in PBGC’s Pension Plan Termination Fact Sheet at </w:t>
      </w:r>
      <w:hyperlink r:id="rId15" w:history="1">
        <w:r w:rsidR="00532500" w:rsidRPr="005F734B">
          <w:rPr>
            <w:rStyle w:val="Hyperlink"/>
            <w:szCs w:val="20"/>
          </w:rPr>
          <w:t>https://www.pbgc.gov/about/factsheets/page/termination</w:t>
        </w:r>
      </w:hyperlink>
      <w:r w:rsidR="00532500">
        <w:t>.</w:t>
      </w:r>
    </w:p>
    <w:p w14:paraId="00DE1988" w14:textId="77777777" w:rsidR="00413241" w:rsidRPr="00532500" w:rsidRDefault="00413241" w:rsidP="00413241"/>
    <w:p w14:paraId="12BF8AF6" w14:textId="3508F6A1" w:rsidR="00791782" w:rsidRDefault="00791782" w:rsidP="00791782">
      <w:pPr>
        <w:pStyle w:val="Heading5"/>
      </w:pPr>
      <w:r w:rsidRPr="009E232D">
        <w:t xml:space="preserve">Benefit Payments Guaranteed by PBGC </w:t>
      </w:r>
    </w:p>
    <w:p w14:paraId="5942B311" w14:textId="2DD17EBC" w:rsidR="00791782" w:rsidRDefault="0009538F" w:rsidP="00791782">
      <w:pPr>
        <w:pStyle w:val="AonBodyCopy"/>
      </w:pPr>
      <w:r>
        <w:t>W</w:t>
      </w:r>
      <w:r w:rsidR="00413241" w:rsidRPr="00413241">
        <w:t>hen PBGC takes over a single-employer plan, it pays pension benefits through its insurance program. Only vested benefits—those you’ve earned and cannot forfeit—are guaranteed. Most participants and beneficiaries receive their full pension benefits, but some people may lose some, or all, non-guaranteed benefits.</w:t>
      </w:r>
    </w:p>
    <w:p w14:paraId="19CFFF62" w14:textId="5E90AF91" w:rsidR="00413241" w:rsidRPr="0009538F" w:rsidRDefault="00413241" w:rsidP="00413241">
      <w:pPr>
        <w:pStyle w:val="AonBodyCopy"/>
        <w:rPr>
          <w:b/>
          <w:bCs/>
        </w:rPr>
      </w:pPr>
      <w:r w:rsidRPr="00413241">
        <w:rPr>
          <w:b/>
          <w:bCs/>
        </w:rPr>
        <w:t>What PBGC Guarantees</w:t>
      </w:r>
      <w:r w:rsidR="00382670">
        <w:rPr>
          <w:b/>
          <w:bCs/>
        </w:rPr>
        <w:br/>
      </w:r>
      <w:r w:rsidRPr="00413241">
        <w:t xml:space="preserve">PBGC guarantees the following “basic benefits” up to limits sets </w:t>
      </w:r>
      <w:proofErr w:type="gramStart"/>
      <w:r w:rsidRPr="00413241">
        <w:t xml:space="preserve">by </w:t>
      </w:r>
      <w:r w:rsidRPr="001C00CC">
        <w:t>:</w:t>
      </w:r>
      <w:proofErr w:type="gramEnd"/>
    </w:p>
    <w:p w14:paraId="5B851AAE" w14:textId="77777777" w:rsidR="00413241" w:rsidRPr="00413241" w:rsidRDefault="00413241" w:rsidP="0009538F">
      <w:pPr>
        <w:pStyle w:val="AonBodyCopy"/>
        <w:numPr>
          <w:ilvl w:val="0"/>
          <w:numId w:val="17"/>
        </w:numPr>
        <w:spacing w:after="0" w:line="240" w:lineRule="auto"/>
      </w:pPr>
      <w:r w:rsidRPr="00413241">
        <w:t>Pension benefits at normal retirement age.</w:t>
      </w:r>
    </w:p>
    <w:p w14:paraId="1C5D7B60" w14:textId="77777777" w:rsidR="00413241" w:rsidRPr="00413241" w:rsidRDefault="00413241" w:rsidP="0009538F">
      <w:pPr>
        <w:pStyle w:val="AonBodyCopy"/>
        <w:numPr>
          <w:ilvl w:val="0"/>
          <w:numId w:val="17"/>
        </w:numPr>
        <w:spacing w:after="0" w:line="240" w:lineRule="auto"/>
      </w:pPr>
      <w:r w:rsidRPr="00413241">
        <w:t>Most early retirement benefits.</w:t>
      </w:r>
    </w:p>
    <w:p w14:paraId="4952D682" w14:textId="77777777" w:rsidR="00413241" w:rsidRPr="00413241" w:rsidRDefault="00413241" w:rsidP="0009538F">
      <w:pPr>
        <w:pStyle w:val="AonBodyCopy"/>
        <w:numPr>
          <w:ilvl w:val="0"/>
          <w:numId w:val="17"/>
        </w:numPr>
        <w:spacing w:after="0" w:line="240" w:lineRule="auto"/>
      </w:pPr>
      <w:r w:rsidRPr="00413241">
        <w:t>Annuity benefits for survivors of plan participants.</w:t>
      </w:r>
    </w:p>
    <w:p w14:paraId="09FC21C1" w14:textId="77777777" w:rsidR="00413241" w:rsidRPr="00413241" w:rsidRDefault="00413241" w:rsidP="0009538F">
      <w:pPr>
        <w:pStyle w:val="AonBodyCopy"/>
        <w:numPr>
          <w:ilvl w:val="0"/>
          <w:numId w:val="17"/>
        </w:numPr>
        <w:spacing w:after="0" w:line="240" w:lineRule="auto"/>
      </w:pPr>
      <w:r w:rsidRPr="00413241">
        <w:t>Disability benefits for disabilities that occurred before the earlier of the date the plan terminated or the sponsor’s bankruptcy date.</w:t>
      </w:r>
    </w:p>
    <w:p w14:paraId="42FC8D58" w14:textId="14447685" w:rsidR="00413241" w:rsidRPr="0009538F" w:rsidRDefault="00382670" w:rsidP="00413241">
      <w:pPr>
        <w:pStyle w:val="AonBodyCopy"/>
        <w:rPr>
          <w:b/>
          <w:bCs/>
        </w:rPr>
      </w:pPr>
      <w:r>
        <w:rPr>
          <w:b/>
          <w:bCs/>
        </w:rPr>
        <w:br/>
      </w:r>
      <w:r w:rsidR="00413241" w:rsidRPr="0009538F">
        <w:rPr>
          <w:b/>
          <w:bCs/>
        </w:rPr>
        <w:t>What PBGC Does Not Guarantee</w:t>
      </w:r>
      <w:r>
        <w:rPr>
          <w:b/>
          <w:bCs/>
        </w:rPr>
        <w:br/>
      </w:r>
      <w:r w:rsidR="00413241" w:rsidRPr="00413241">
        <w:t>PBGC does not guarantee certain types of benefits, including:</w:t>
      </w:r>
    </w:p>
    <w:p w14:paraId="6DC7426E" w14:textId="77777777" w:rsidR="00413241" w:rsidRPr="00413241" w:rsidRDefault="00413241" w:rsidP="0009538F">
      <w:pPr>
        <w:pStyle w:val="AonBodyCopy"/>
        <w:numPr>
          <w:ilvl w:val="0"/>
          <w:numId w:val="18"/>
        </w:numPr>
        <w:spacing w:after="0"/>
      </w:pPr>
      <w:r w:rsidRPr="00413241">
        <w:lastRenderedPageBreak/>
        <w:t>Non-vested benefits, which depend on meeting specific age, service, or other eligibility requirements.</w:t>
      </w:r>
    </w:p>
    <w:p w14:paraId="104C7185" w14:textId="77777777" w:rsidR="00413241" w:rsidRPr="00413241" w:rsidRDefault="00413241" w:rsidP="0009538F">
      <w:pPr>
        <w:pStyle w:val="AonBodyCopy"/>
        <w:numPr>
          <w:ilvl w:val="0"/>
          <w:numId w:val="18"/>
        </w:numPr>
        <w:spacing w:after="0"/>
      </w:pPr>
      <w:r w:rsidRPr="00413241">
        <w:t>Benefit increases and new benefits in place for less than one year before a plan’s termination date, while those in place for less than five years are only partly covered.</w:t>
      </w:r>
    </w:p>
    <w:p w14:paraId="5FABC305" w14:textId="77777777" w:rsidR="00413241" w:rsidRPr="00413241" w:rsidRDefault="00413241" w:rsidP="0009538F">
      <w:pPr>
        <w:pStyle w:val="AonBodyCopy"/>
        <w:numPr>
          <w:ilvl w:val="0"/>
          <w:numId w:val="18"/>
        </w:numPr>
        <w:spacing w:after="0"/>
      </w:pPr>
      <w:r w:rsidRPr="00413241">
        <w:t>Early retirement payments that exceed normal retirement payments, such as supplemental benefits that end when you become eligible for Social Security.</w:t>
      </w:r>
    </w:p>
    <w:p w14:paraId="5B659080" w14:textId="77777777" w:rsidR="00413241" w:rsidRPr="00413241" w:rsidRDefault="00413241" w:rsidP="0009538F">
      <w:pPr>
        <w:pStyle w:val="AonBodyCopy"/>
        <w:numPr>
          <w:ilvl w:val="0"/>
          <w:numId w:val="18"/>
        </w:numPr>
        <w:spacing w:after="0"/>
      </w:pPr>
      <w:r w:rsidRPr="00413241">
        <w:t>Non-pension benefits, such as health insurance, life insurance, death benefits, vacation pay, or severance pay.</w:t>
      </w:r>
    </w:p>
    <w:p w14:paraId="626557BD" w14:textId="77777777" w:rsidR="00413241" w:rsidRPr="00413241" w:rsidRDefault="00413241" w:rsidP="0009538F">
      <w:pPr>
        <w:pStyle w:val="AonBodyCopy"/>
        <w:numPr>
          <w:ilvl w:val="0"/>
          <w:numId w:val="18"/>
        </w:numPr>
        <w:spacing w:after="0"/>
      </w:pPr>
      <w:r w:rsidRPr="00413241">
        <w:t>Lump-sum payments exceeding $7,000.</w:t>
      </w:r>
    </w:p>
    <w:p w14:paraId="33DA3A17" w14:textId="5342527C" w:rsidR="00413241" w:rsidRPr="0009538F" w:rsidRDefault="00382670" w:rsidP="00413241">
      <w:pPr>
        <w:pStyle w:val="AonBodyCopy"/>
        <w:rPr>
          <w:b/>
          <w:bCs/>
        </w:rPr>
      </w:pPr>
      <w:r>
        <w:rPr>
          <w:b/>
          <w:bCs/>
        </w:rPr>
        <w:br/>
      </w:r>
      <w:r w:rsidR="00413241" w:rsidRPr="0009538F">
        <w:rPr>
          <w:b/>
          <w:bCs/>
        </w:rPr>
        <w:t>Determining Guarantee Amounts</w:t>
      </w:r>
      <w:r>
        <w:rPr>
          <w:b/>
          <w:bCs/>
        </w:rPr>
        <w:br/>
      </w:r>
      <w:r w:rsidR="00413241" w:rsidRPr="00413241">
        <w:t>The amount PBGC guarantees is determined as of the plan’s termination date. If the plan terminates during the plan sponsor’s bankruptcy, the guarantee amount is determined as of the date the sponsor entered bankruptcy.</w:t>
      </w:r>
    </w:p>
    <w:p w14:paraId="55F34A6A" w14:textId="77777777" w:rsidR="00413241" w:rsidRPr="00413241" w:rsidRDefault="00413241" w:rsidP="00413241">
      <w:pPr>
        <w:pStyle w:val="AonBodyCopy"/>
      </w:pPr>
      <w:r w:rsidRPr="00413241">
        <w:t>The maximum benefit PBGC guarantees is set by law and updated annually. Participants and beneficiaries may receive benefits above the PBGC guaranteed amount, but only if the plan has enough funds to pay them.</w:t>
      </w:r>
    </w:p>
    <w:p w14:paraId="717A97FA" w14:textId="39D1CDE3" w:rsidR="00413241" w:rsidRPr="00413241" w:rsidRDefault="00413241" w:rsidP="00413241">
      <w:pPr>
        <w:pStyle w:val="AonBodyCopy"/>
      </w:pPr>
      <w:r w:rsidRPr="00413241">
        <w:t>For a plan with a termination date or sponsor bankruptcy date, as applicable in</w:t>
      </w:r>
      <w:r w:rsidR="00AD0104">
        <w:t xml:space="preserve"> 2025</w:t>
      </w:r>
      <w:r w:rsidRPr="00413241">
        <w:t xml:space="preserve">, the maximum guarantee is </w:t>
      </w:r>
      <w:r w:rsidR="00AD0104">
        <w:t xml:space="preserve">$7,431.82 </w:t>
      </w:r>
      <w:r w:rsidRPr="00413241">
        <w:t xml:space="preserve">per month, or </w:t>
      </w:r>
      <w:r w:rsidR="00AD0104">
        <w:t xml:space="preserve">$89,181.84 </w:t>
      </w:r>
      <w:r w:rsidRPr="00413241">
        <w:t>per year, for a benefit paid to a 65-year-old retiree with no survivor benefit. If a plan terminates during a plan sponsor’s bankruptcy, the maximum guarantee is fixed as of the calendar year in which the sponsor entered bankruptcy.</w:t>
      </w:r>
    </w:p>
    <w:p w14:paraId="07253900" w14:textId="77777777" w:rsidR="00413241" w:rsidRPr="00413241" w:rsidRDefault="00413241" w:rsidP="00413241">
      <w:pPr>
        <w:pStyle w:val="AonBodyCopy"/>
      </w:pPr>
      <w:r w:rsidRPr="00413241">
        <w:t>If benefits begin:</w:t>
      </w:r>
    </w:p>
    <w:p w14:paraId="3A086D1F" w14:textId="77777777" w:rsidR="00413241" w:rsidRPr="00413241" w:rsidRDefault="00413241" w:rsidP="00420780">
      <w:pPr>
        <w:pStyle w:val="AonBodyCopy"/>
        <w:numPr>
          <w:ilvl w:val="0"/>
          <w:numId w:val="19"/>
        </w:numPr>
        <w:spacing w:after="0"/>
      </w:pPr>
      <w:r w:rsidRPr="00413241">
        <w:t>Before age 65, the maximum guarantee is lower, reflecting the longer expected payment period for younger retirees.</w:t>
      </w:r>
    </w:p>
    <w:p w14:paraId="704F19F9" w14:textId="77777777" w:rsidR="00413241" w:rsidRPr="00413241" w:rsidRDefault="00413241" w:rsidP="00420780">
      <w:pPr>
        <w:pStyle w:val="AonBodyCopy"/>
        <w:numPr>
          <w:ilvl w:val="0"/>
          <w:numId w:val="19"/>
        </w:numPr>
        <w:spacing w:after="0"/>
      </w:pPr>
      <w:r w:rsidRPr="00413241">
        <w:t>After age 65, the maximum guarantee is higher.</w:t>
      </w:r>
    </w:p>
    <w:p w14:paraId="67CD312C" w14:textId="77777777" w:rsidR="0072544D" w:rsidRDefault="0072544D" w:rsidP="00413241">
      <w:pPr>
        <w:pStyle w:val="AonBodyCopy"/>
      </w:pPr>
    </w:p>
    <w:p w14:paraId="2B0002A2" w14:textId="56968730" w:rsidR="00413241" w:rsidRPr="00413241" w:rsidRDefault="00413241" w:rsidP="00413241">
      <w:pPr>
        <w:pStyle w:val="AonBodyCopy"/>
      </w:pPr>
      <w:r w:rsidRPr="00413241">
        <w:t>The guaranteed amount is reduced if a benefit will be paid to a survivor upon the participant’s death. Maximum guarantee amounts by age can be found on PBGC’s</w:t>
      </w:r>
      <w:r w:rsidR="00420780">
        <w:t xml:space="preserve"> website, </w:t>
      </w:r>
      <w:r w:rsidRPr="00413241">
        <w:t> </w:t>
      </w:r>
      <w:hyperlink r:id="rId16" w:tgtFrame="_blank" w:history="1">
        <w:r w:rsidRPr="00413241">
          <w:rPr>
            <w:rStyle w:val="Hyperlink"/>
            <w:szCs w:val="20"/>
          </w:rPr>
          <w:t>https://www.pbgc.gov/wr/benefits/guaranteed-benefits/maximum-guarantee</w:t>
        </w:r>
      </w:hyperlink>
      <w:r w:rsidRPr="00413241">
        <w:t>.</w:t>
      </w:r>
    </w:p>
    <w:p w14:paraId="3A71B90C" w14:textId="77777777" w:rsidR="00413241" w:rsidRDefault="00413241" w:rsidP="00413241">
      <w:pPr>
        <w:pStyle w:val="AonBodyCopy"/>
      </w:pPr>
      <w:r w:rsidRPr="00413241">
        <w:t>In determining whether the plan has enough assets to pay benefits above the guaranteed amount, PBGC uses different assumptions than those used to calculate the funded percentage shown in the “</w:t>
      </w:r>
      <w:r w:rsidRPr="00413241">
        <w:rPr>
          <w:b/>
          <w:bCs/>
        </w:rPr>
        <w:t>How Well Funded Is Your Plan?</w:t>
      </w:r>
      <w:r w:rsidRPr="00413241">
        <w:t>” section of this notice. As a result, the additional benefits participants receive may not align with the Plan’s reported funded percentage. For example, a plan that reports 80 percent funding based on its own calculations does not mean its participants will receive 80 percent of their vested benefits.</w:t>
      </w:r>
    </w:p>
    <w:p w14:paraId="06354569" w14:textId="77777777" w:rsidR="00F97196" w:rsidRPr="00791782" w:rsidRDefault="00F97196" w:rsidP="00F97196">
      <w:pPr>
        <w:ind w:left="120" w:right="119"/>
        <w:jc w:val="both"/>
        <w:rPr>
          <w:rFonts w:eastAsia="Book Antiqua" w:cs="Arial"/>
          <w:sz w:val="16"/>
          <w:szCs w:val="16"/>
        </w:rPr>
      </w:pPr>
    </w:p>
    <w:p w14:paraId="40F2FADC" w14:textId="77777777" w:rsidR="00791782" w:rsidRPr="009E232D" w:rsidRDefault="00791782" w:rsidP="00791782">
      <w:pPr>
        <w:pStyle w:val="Heading5"/>
      </w:pPr>
      <w:r w:rsidRPr="009E232D">
        <w:t xml:space="preserve">Corporate and Actuarial Information on File </w:t>
      </w:r>
      <w:r>
        <w:t>W</w:t>
      </w:r>
      <w:r w:rsidRPr="009E232D">
        <w:t xml:space="preserve">ith PBGC </w:t>
      </w:r>
    </w:p>
    <w:p w14:paraId="76F96995" w14:textId="1106B27D" w:rsidR="00B24B97" w:rsidRDefault="00413241" w:rsidP="00B24B97">
      <w:pPr>
        <w:pStyle w:val="AonBodyCopy"/>
      </w:pPr>
      <w:r w:rsidRPr="00413241">
        <w:t>In some cases, a plan sponsor must submit financial and actuarial information to PBGC. This is generally required if the plan—or another plan maintained by your employer or a related employer—is less than 80 percent funded using PBGC’s assumptions, which differ from those in “How Well Funded Is Your Plan” section of this notice. PBGC uses this information for monitoring and other purposes.</w:t>
      </w:r>
      <w:r w:rsidR="00B24B97" w:rsidRPr="00B24B97">
        <w:t xml:space="preserve"> </w:t>
      </w:r>
      <w:r w:rsidR="00B24B97" w:rsidRPr="00353312">
        <w:t xml:space="preserve">The sponsor of the Plan, </w:t>
      </w:r>
      <w:bookmarkStart w:id="6" w:name="ARPS_333"/>
      <w:r w:rsidR="00B24B97">
        <w:t>PanTeXas Deterrence, LLC</w:t>
      </w:r>
      <w:bookmarkEnd w:id="6"/>
      <w:r w:rsidR="00B24B97" w:rsidRPr="00353312">
        <w:t xml:space="preserve">, </w:t>
      </w:r>
      <w:r w:rsidR="00B24B97">
        <w:t>or a</w:t>
      </w:r>
      <w:r w:rsidR="00B24B97" w:rsidRPr="00353312">
        <w:t xml:space="preserve"> member of its controlled group, w</w:t>
      </w:r>
      <w:r w:rsidR="00B24B97">
        <w:t>as</w:t>
      </w:r>
      <w:r w:rsidR="00B24B97" w:rsidRPr="00353312">
        <w:t xml:space="preserve"> subject to this requirement to provide corporate financial information and plan actuarial information to the PBGC. </w:t>
      </w:r>
    </w:p>
    <w:p w14:paraId="3B13EA87" w14:textId="59545DFB" w:rsidR="00413241" w:rsidRDefault="00413241" w:rsidP="00791782">
      <w:pPr>
        <w:pStyle w:val="AonBodyCopy"/>
      </w:pPr>
    </w:p>
    <w:p w14:paraId="0D48193B" w14:textId="7EC5AF11" w:rsidR="00791782" w:rsidRPr="009E232D" w:rsidRDefault="00791782">
      <w:pPr>
        <w:pStyle w:val="Heading5"/>
      </w:pPr>
      <w:r w:rsidRPr="009E232D">
        <w:t>Disclosure Statement and Disclaimer</w:t>
      </w:r>
    </w:p>
    <w:p w14:paraId="34A5CD96" w14:textId="57CCC816" w:rsidR="001C00CC" w:rsidRDefault="00791782" w:rsidP="00C55F62">
      <w:pPr>
        <w:pStyle w:val="AonBodyCopy"/>
        <w:keepNext/>
        <w:keepLines/>
        <w:suppressAutoHyphens/>
        <w:autoSpaceDE w:val="0"/>
        <w:autoSpaceDN w:val="0"/>
        <w:adjustRightInd w:val="0"/>
        <w:spacing w:after="0" w:line="276" w:lineRule="auto"/>
        <w:textAlignment w:val="center"/>
        <w:outlineLvl w:val="4"/>
        <w:sectPr w:rsidR="001C00CC" w:rsidSect="001C00CC">
          <w:headerReference w:type="even" r:id="rId17"/>
          <w:headerReference w:type="default" r:id="rId18"/>
          <w:footerReference w:type="even" r:id="rId19"/>
          <w:footerReference w:type="default" r:id="rId20"/>
          <w:headerReference w:type="first" r:id="rId21"/>
          <w:footerReference w:type="first" r:id="rId22"/>
          <w:type w:val="continuous"/>
          <w:pgSz w:w="12240" w:h="15840" w:code="1"/>
          <w:pgMar w:top="1080" w:right="1440" w:bottom="1195" w:left="1440" w:header="864" w:footer="864" w:gutter="0"/>
          <w:pgNumType w:start="1"/>
          <w:cols w:space="720"/>
          <w:docGrid w:linePitch="360"/>
        </w:sectPr>
      </w:pPr>
      <w:r w:rsidRPr="003F21F4">
        <w:t xml:space="preserve">This notice is intended to comply with the requirements of section 101(f) of the Employee Retirement Income Security Act of 1974, as amended. The disclosures provided in this notice are based on information available and believed to be accurate as of the date this notice is provided. All computations </w:t>
      </w:r>
      <w:r w:rsidR="000E1CF4">
        <w:t>and estimates</w:t>
      </w:r>
      <w:r w:rsidRPr="003F21F4">
        <w:t xml:space="preserve"> reflected in these disclosures have been performed based on a good faith interpretation of the applicable statutory and regulatory guidance in effect on the date this notice is provided. Such information</w:t>
      </w:r>
      <w:r w:rsidR="00961C63">
        <w:t>,</w:t>
      </w:r>
      <w:r w:rsidRPr="003F21F4">
        <w:t xml:space="preserve"> computations</w:t>
      </w:r>
      <w:r w:rsidR="00961C63">
        <w:t>,</w:t>
      </w:r>
      <w:r w:rsidRPr="003F21F4">
        <w:t xml:space="preserve"> </w:t>
      </w:r>
      <w:r w:rsidR="00961C63">
        <w:t>and estimates</w:t>
      </w:r>
      <w:r w:rsidRPr="003F21F4">
        <w:t xml:space="preserve"> include</w:t>
      </w:r>
      <w:r>
        <w:t>,</w:t>
      </w:r>
      <w:r w:rsidRPr="003F21F4">
        <w:t xml:space="preserve"> but are not limited to, the measurement of plan liabilities, reported values of plan assets, </w:t>
      </w:r>
      <w:r w:rsidR="00D27E7B">
        <w:t xml:space="preserve">participant counts, </w:t>
      </w:r>
      <w:r w:rsidRPr="003F21F4">
        <w:t>allocation of assets</w:t>
      </w:r>
      <w:r w:rsidR="00D27E7B">
        <w:t>, and average return on assets</w:t>
      </w:r>
      <w:r w:rsidRPr="003F21F4">
        <w:t xml:space="preserve">. However, actual results for the Plan Year may change and will not be considered final until filed with the Department of Labor as part of the Annual Report (i.e., the Form 5500). Subsequently, such results will change only by amendment of the Annual Report for the </w:t>
      </w:r>
      <w:r>
        <w:t>P</w:t>
      </w:r>
      <w:r w:rsidRPr="003F21F4">
        <w:t xml:space="preserve">lan </w:t>
      </w:r>
      <w:r>
        <w:t>Y</w:t>
      </w:r>
      <w:r w:rsidRPr="003F21F4">
        <w:t>ear. See the Right to Request a Copy of the Annual Report section for information about how to obtain a copy of the Annual Report. The plan sponsor does not undertake any obligation to update or publicly release any revisions to this notice, and no such revisions will be issued, to reflect any changes, including but not limited to, changes in the manner in which particular calculations are performed, changes in expectations, the adoption of plan amendments or any other events or circumstances occurring after this notice is provided</w:t>
      </w:r>
      <w:r w:rsidR="00C55F62">
        <w:t>.</w:t>
      </w:r>
    </w:p>
    <w:p w14:paraId="49F81454" w14:textId="77777777" w:rsidR="001C00CC" w:rsidRPr="002A6B2E" w:rsidRDefault="001C00CC" w:rsidP="001C00CC">
      <w:pPr>
        <w:pStyle w:val="Heading4"/>
        <w:spacing w:after="240"/>
        <w:jc w:val="center"/>
      </w:pPr>
      <w:r w:rsidRPr="002A6B2E">
        <w:lastRenderedPageBreak/>
        <w:t>Supplement to Annual Funding Notice</w:t>
      </w:r>
      <w:r>
        <w:br/>
      </w:r>
      <w:r w:rsidRPr="002A6B2E">
        <w:t xml:space="preserve">of </w:t>
      </w:r>
      <w:r>
        <w:t>PanTeXas Deterrence, LLC Retirement Plan for Non-Bargaining Pantex Location Employees</w:t>
      </w:r>
      <w:r w:rsidRPr="002A6B2E">
        <w:t xml:space="preserve"> (Plan) for</w:t>
      </w:r>
      <w:r>
        <w:br/>
      </w:r>
      <w:r w:rsidRPr="002A6B2E">
        <w:t xml:space="preserve">Plan Year Beginning </w:t>
      </w:r>
      <w:r>
        <w:t>January 1, 2024</w:t>
      </w:r>
      <w:r w:rsidRPr="002A6B2E">
        <w:t xml:space="preserve"> and Ending </w:t>
      </w:r>
      <w:r>
        <w:t>December 31, 2024</w:t>
      </w:r>
      <w:r w:rsidRPr="002A6B2E">
        <w:t xml:space="preserve"> (Plan Year)</w:t>
      </w:r>
    </w:p>
    <w:p w14:paraId="4D30C3DD" w14:textId="77777777" w:rsidR="001C00CC" w:rsidRPr="002B0EBB" w:rsidRDefault="001C00CC" w:rsidP="001C00CC">
      <w:pPr>
        <w:pStyle w:val="AonBodyCopy"/>
      </w:pPr>
      <w:r w:rsidRPr="002A6BA3">
        <w:t>This is a temporary supplement to your annual funding notice which is required by the Moving Ahead for Progr</w:t>
      </w:r>
      <w:r>
        <w:t xml:space="preserve">ess in the 21st Century Act, </w:t>
      </w:r>
      <w:r w:rsidRPr="002A6BA3">
        <w:t>the Highway and Transportation Funding Act of 2014</w:t>
      </w:r>
      <w:r>
        <w:t>, the Bipartisan Budget Act of 2015,</w:t>
      </w:r>
      <w:r w:rsidRPr="004732C3">
        <w:t xml:space="preserve"> the American Rescue Plan Act of 2021, and the Infrastructure Investment and Jobs Act</w:t>
      </w:r>
      <w:r w:rsidRPr="002A6BA3">
        <w:t>. These federal laws changed how pension plans calculate their liabilities. The purpose of this supplement is to show you the effect of these changes. Prior to 2012, pension plans determined their liabilities using a two-year average of interest rates. Now pension plans also must take into account a 25-year average of interest rates. This means that interest rates likely will be higher and plan liabilities lower than they were under prior law. As a result, your employer may contribute less money to the plan at a time when market interest rates are at or near historical lows.</w:t>
      </w:r>
    </w:p>
    <w:p w14:paraId="62D6DDF5" w14:textId="77777777" w:rsidR="001C00CC" w:rsidRDefault="001C00CC" w:rsidP="001C00CC">
      <w:pPr>
        <w:pStyle w:val="AonBodyCopy"/>
      </w:pPr>
      <w:r w:rsidRPr="002B0EBB">
        <w:t xml:space="preserve">The “Information Table” </w:t>
      </w:r>
      <w:r>
        <w:t xml:space="preserve">compares the impact of using </w:t>
      </w:r>
      <w:r w:rsidRPr="002B0EBB">
        <w:t xml:space="preserve">interest rates </w:t>
      </w:r>
      <w:r>
        <w:t>based on the 25-year average (the “adjusted interest rates”) and interest rates based on a two-year average on</w:t>
      </w:r>
      <w:r w:rsidRPr="002B0EBB">
        <w:t xml:space="preserve"> the Plan’s: (1) Funding Target Attainment Percentage, (2) Funding Shortfall, </w:t>
      </w:r>
      <w:r>
        <w:t xml:space="preserve">and </w:t>
      </w:r>
      <w:r w:rsidRPr="002B0EBB">
        <w:t xml:space="preserve">(3) Minimum Required Contribution. The funding target attainment percentage is a measure of how well </w:t>
      </w:r>
      <w:r>
        <w:t xml:space="preserve">a </w:t>
      </w:r>
      <w:r w:rsidRPr="002B0EBB">
        <w:t xml:space="preserve">plan is funded on a particular date. The funding shortfall is the amount by which liabilities exceed net plan assets. The minimum required contribution is the amount of money an employer is required by law to contribute to a plan in a given year. The following table shows this information determined with and without the </w:t>
      </w:r>
      <w:r>
        <w:t>adjusted interest</w:t>
      </w:r>
      <w:r w:rsidRPr="002B0EBB">
        <w:t xml:space="preserve"> rates. The information is provided for the Plan Year and for each of the two preceding plan years, if applicable.</w:t>
      </w:r>
    </w:p>
    <w:p w14:paraId="680DF6B0" w14:textId="77777777" w:rsidR="001C00CC" w:rsidRDefault="001C00CC" w:rsidP="001C00CC"/>
    <w:tbl>
      <w:tblPr>
        <w:tblStyle w:val="TableGrid"/>
        <w:tblW w:w="9756" w:type="dxa"/>
        <w:tblBorders>
          <w:top w:val="none" w:sz="0" w:space="0" w:color="auto"/>
          <w:left w:val="none" w:sz="0" w:space="0" w:color="auto"/>
          <w:bottom w:val="none" w:sz="0" w:space="0" w:color="auto"/>
          <w:right w:val="none" w:sz="0" w:space="0" w:color="auto"/>
          <w:insideH w:val="single" w:sz="4" w:space="0" w:color="808080"/>
          <w:insideV w:val="none" w:sz="0" w:space="0" w:color="auto"/>
        </w:tblBorders>
        <w:tblLayout w:type="fixed"/>
        <w:tblLook w:val="01E0" w:firstRow="1" w:lastRow="1" w:firstColumn="1" w:lastColumn="1" w:noHBand="0" w:noVBand="0"/>
      </w:tblPr>
      <w:tblGrid>
        <w:gridCol w:w="1385"/>
        <w:gridCol w:w="1385"/>
        <w:gridCol w:w="1385"/>
        <w:gridCol w:w="1386"/>
        <w:gridCol w:w="1479"/>
        <w:gridCol w:w="1350"/>
        <w:gridCol w:w="1386"/>
      </w:tblGrid>
      <w:tr w:rsidR="001C00CC" w14:paraId="5A964F5F" w14:textId="77777777" w:rsidTr="00E12128">
        <w:trPr>
          <w:cantSplit/>
          <w:tblHeader/>
        </w:trPr>
        <w:tc>
          <w:tcPr>
            <w:tcW w:w="9752" w:type="dxa"/>
            <w:gridSpan w:val="7"/>
            <w:tcBorders>
              <w:top w:val="nil"/>
              <w:bottom w:val="single" w:sz="12" w:space="0" w:color="808080"/>
            </w:tcBorders>
            <w:shd w:val="clear" w:color="auto" w:fill="auto"/>
            <w:vAlign w:val="bottom"/>
          </w:tcPr>
          <w:p w14:paraId="7ABDB359" w14:textId="77777777" w:rsidR="001C00CC" w:rsidRDefault="001C00CC" w:rsidP="00E12128">
            <w:pPr>
              <w:pStyle w:val="TableColumnHead"/>
            </w:pPr>
            <w:r w:rsidRPr="000E5CD9">
              <w:t>Information Table</w:t>
            </w:r>
          </w:p>
        </w:tc>
      </w:tr>
      <w:tr w:rsidR="001C00CC" w14:paraId="1D217243" w14:textId="77777777" w:rsidTr="00E12128">
        <w:trPr>
          <w:cantSplit/>
        </w:trPr>
        <w:tc>
          <w:tcPr>
            <w:tcW w:w="1385" w:type="dxa"/>
            <w:tcBorders>
              <w:top w:val="single" w:sz="12" w:space="0" w:color="808080"/>
            </w:tcBorders>
            <w:shd w:val="clear" w:color="auto" w:fill="auto"/>
          </w:tcPr>
          <w:p w14:paraId="536FDB08" w14:textId="77777777" w:rsidR="001C00CC" w:rsidRDefault="001C00CC" w:rsidP="00E12128">
            <w:pPr>
              <w:pStyle w:val="TableColumnHead"/>
              <w:jc w:val="center"/>
            </w:pPr>
          </w:p>
        </w:tc>
        <w:tc>
          <w:tcPr>
            <w:tcW w:w="2770" w:type="dxa"/>
            <w:gridSpan w:val="2"/>
            <w:tcBorders>
              <w:top w:val="single" w:sz="12" w:space="0" w:color="808080"/>
            </w:tcBorders>
            <w:shd w:val="clear" w:color="auto" w:fill="auto"/>
          </w:tcPr>
          <w:p w14:paraId="0532B4DA" w14:textId="77777777" w:rsidR="001C00CC" w:rsidRPr="001D48DF" w:rsidRDefault="001C00CC" w:rsidP="00E12128">
            <w:pPr>
              <w:pStyle w:val="TableColumnHead"/>
              <w:jc w:val="center"/>
              <w:rPr>
                <w:bCs/>
              </w:rPr>
            </w:pPr>
            <w:r>
              <w:rPr>
                <w:bCs/>
              </w:rPr>
              <w:t>Plan Year Beginning in 2024</w:t>
            </w:r>
          </w:p>
        </w:tc>
        <w:tc>
          <w:tcPr>
            <w:tcW w:w="2865" w:type="dxa"/>
            <w:gridSpan w:val="2"/>
            <w:tcBorders>
              <w:top w:val="single" w:sz="12" w:space="0" w:color="808080"/>
            </w:tcBorders>
            <w:shd w:val="clear" w:color="auto" w:fill="auto"/>
          </w:tcPr>
          <w:p w14:paraId="0550B4BD" w14:textId="77777777" w:rsidR="001C00CC" w:rsidRPr="001D48DF" w:rsidRDefault="001C00CC" w:rsidP="00E12128">
            <w:pPr>
              <w:pStyle w:val="TableColumnHead"/>
              <w:jc w:val="center"/>
              <w:rPr>
                <w:bCs/>
              </w:rPr>
            </w:pPr>
            <w:r>
              <w:rPr>
                <w:bCs/>
              </w:rPr>
              <w:t>Plan Year Beginning in 2023</w:t>
            </w:r>
          </w:p>
        </w:tc>
        <w:tc>
          <w:tcPr>
            <w:tcW w:w="2732" w:type="dxa"/>
            <w:gridSpan w:val="2"/>
            <w:tcBorders>
              <w:top w:val="single" w:sz="12" w:space="0" w:color="808080"/>
            </w:tcBorders>
            <w:shd w:val="clear" w:color="auto" w:fill="auto"/>
          </w:tcPr>
          <w:p w14:paraId="04326A37" w14:textId="77777777" w:rsidR="001C00CC" w:rsidRPr="001D48DF" w:rsidRDefault="001C00CC" w:rsidP="00E12128">
            <w:pPr>
              <w:pStyle w:val="TableColumnHead"/>
              <w:jc w:val="center"/>
              <w:rPr>
                <w:bCs/>
              </w:rPr>
            </w:pPr>
            <w:r>
              <w:rPr>
                <w:bCs/>
              </w:rPr>
              <w:t>Plan Year Beginning in 2022</w:t>
            </w:r>
          </w:p>
        </w:tc>
      </w:tr>
      <w:tr w:rsidR="001C00CC" w14:paraId="45AA0C72" w14:textId="77777777" w:rsidTr="00E12128">
        <w:trPr>
          <w:cantSplit/>
        </w:trPr>
        <w:tc>
          <w:tcPr>
            <w:tcW w:w="1385" w:type="dxa"/>
            <w:shd w:val="clear" w:color="auto" w:fill="auto"/>
          </w:tcPr>
          <w:p w14:paraId="2729233F" w14:textId="77777777" w:rsidR="001C00CC" w:rsidRDefault="001C00CC" w:rsidP="00E12128">
            <w:pPr>
              <w:pStyle w:val="TableColumnHead"/>
              <w:jc w:val="right"/>
            </w:pPr>
          </w:p>
        </w:tc>
        <w:tc>
          <w:tcPr>
            <w:tcW w:w="1385" w:type="dxa"/>
            <w:shd w:val="clear" w:color="auto" w:fill="auto"/>
          </w:tcPr>
          <w:p w14:paraId="7039F67C" w14:textId="77777777" w:rsidR="001C00CC" w:rsidRDefault="001C00CC" w:rsidP="00E12128">
            <w:pPr>
              <w:pStyle w:val="TableColumnHead"/>
              <w:jc w:val="right"/>
            </w:pPr>
            <w:r>
              <w:rPr>
                <w:bCs/>
              </w:rPr>
              <w:t>With</w:t>
            </w:r>
            <w:r>
              <w:rPr>
                <w:bCs/>
              </w:rPr>
              <w:br/>
              <w:t>Adjusted</w:t>
            </w:r>
            <w:r>
              <w:rPr>
                <w:bCs/>
              </w:rPr>
              <w:br/>
            </w:r>
            <w:r w:rsidRPr="000E5CD9">
              <w:rPr>
                <w:bCs/>
              </w:rPr>
              <w:t>Interest</w:t>
            </w:r>
            <w:r>
              <w:rPr>
                <w:bCs/>
              </w:rPr>
              <w:br/>
            </w:r>
            <w:r w:rsidRPr="000E5CD9">
              <w:rPr>
                <w:bCs/>
              </w:rPr>
              <w:t>Rates</w:t>
            </w:r>
          </w:p>
        </w:tc>
        <w:tc>
          <w:tcPr>
            <w:tcW w:w="1385" w:type="dxa"/>
            <w:shd w:val="clear" w:color="auto" w:fill="auto"/>
          </w:tcPr>
          <w:p w14:paraId="7AB1E1A3" w14:textId="77777777" w:rsidR="001C00CC" w:rsidRDefault="001C00CC" w:rsidP="00E12128">
            <w:pPr>
              <w:pStyle w:val="TableColumnHead"/>
              <w:jc w:val="right"/>
            </w:pPr>
            <w:r w:rsidRPr="000E5CD9">
              <w:rPr>
                <w:bCs/>
              </w:rPr>
              <w:t>Without</w:t>
            </w:r>
            <w:r>
              <w:rPr>
                <w:bCs/>
              </w:rPr>
              <w:br/>
              <w:t>Adjusted</w:t>
            </w:r>
            <w:r>
              <w:rPr>
                <w:bCs/>
              </w:rPr>
              <w:br/>
            </w:r>
            <w:r w:rsidRPr="000E5CD9">
              <w:rPr>
                <w:bCs/>
              </w:rPr>
              <w:t>Interest</w:t>
            </w:r>
            <w:r>
              <w:rPr>
                <w:bCs/>
              </w:rPr>
              <w:br/>
            </w:r>
            <w:r w:rsidRPr="000E5CD9">
              <w:rPr>
                <w:bCs/>
              </w:rPr>
              <w:t>Rates</w:t>
            </w:r>
          </w:p>
        </w:tc>
        <w:tc>
          <w:tcPr>
            <w:tcW w:w="1386" w:type="dxa"/>
            <w:shd w:val="clear" w:color="auto" w:fill="auto"/>
          </w:tcPr>
          <w:p w14:paraId="152A2E51" w14:textId="77777777" w:rsidR="001C00CC" w:rsidRDefault="001C00CC" w:rsidP="00E12128">
            <w:pPr>
              <w:pStyle w:val="TableColumnHead"/>
              <w:jc w:val="right"/>
            </w:pPr>
            <w:r>
              <w:rPr>
                <w:bCs/>
              </w:rPr>
              <w:t>With</w:t>
            </w:r>
            <w:r>
              <w:rPr>
                <w:bCs/>
              </w:rPr>
              <w:br/>
              <w:t>Adjusted</w:t>
            </w:r>
            <w:r>
              <w:rPr>
                <w:bCs/>
              </w:rPr>
              <w:br/>
            </w:r>
            <w:r w:rsidRPr="000E5CD9">
              <w:rPr>
                <w:bCs/>
              </w:rPr>
              <w:t>Interest</w:t>
            </w:r>
            <w:r>
              <w:rPr>
                <w:bCs/>
              </w:rPr>
              <w:br/>
            </w:r>
            <w:r w:rsidRPr="000E5CD9">
              <w:rPr>
                <w:bCs/>
              </w:rPr>
              <w:t>Rates</w:t>
            </w:r>
          </w:p>
        </w:tc>
        <w:tc>
          <w:tcPr>
            <w:tcW w:w="1479" w:type="dxa"/>
            <w:shd w:val="clear" w:color="auto" w:fill="auto"/>
          </w:tcPr>
          <w:p w14:paraId="0E3F95E5" w14:textId="77777777" w:rsidR="001C00CC" w:rsidRDefault="001C00CC" w:rsidP="00E12128">
            <w:pPr>
              <w:pStyle w:val="TableColumnHead"/>
              <w:jc w:val="right"/>
            </w:pPr>
            <w:r w:rsidRPr="000E5CD9">
              <w:rPr>
                <w:bCs/>
              </w:rPr>
              <w:t>Without</w:t>
            </w:r>
            <w:r>
              <w:rPr>
                <w:bCs/>
              </w:rPr>
              <w:br/>
              <w:t>Adjusted</w:t>
            </w:r>
            <w:r>
              <w:rPr>
                <w:bCs/>
              </w:rPr>
              <w:br/>
            </w:r>
            <w:r w:rsidRPr="000E5CD9">
              <w:rPr>
                <w:bCs/>
              </w:rPr>
              <w:t>Interest</w:t>
            </w:r>
            <w:r>
              <w:rPr>
                <w:bCs/>
              </w:rPr>
              <w:br/>
            </w:r>
            <w:r w:rsidRPr="000E5CD9">
              <w:rPr>
                <w:bCs/>
              </w:rPr>
              <w:t>Rates</w:t>
            </w:r>
          </w:p>
        </w:tc>
        <w:tc>
          <w:tcPr>
            <w:tcW w:w="1350" w:type="dxa"/>
            <w:shd w:val="clear" w:color="auto" w:fill="auto"/>
          </w:tcPr>
          <w:p w14:paraId="38663C12" w14:textId="77777777" w:rsidR="001C00CC" w:rsidRDefault="001C00CC" w:rsidP="00E12128">
            <w:pPr>
              <w:pStyle w:val="TableColumnHead"/>
              <w:jc w:val="right"/>
            </w:pPr>
            <w:r>
              <w:rPr>
                <w:bCs/>
              </w:rPr>
              <w:t>With</w:t>
            </w:r>
            <w:r>
              <w:rPr>
                <w:bCs/>
              </w:rPr>
              <w:br/>
              <w:t>Adjusted</w:t>
            </w:r>
            <w:r>
              <w:rPr>
                <w:bCs/>
              </w:rPr>
              <w:br/>
            </w:r>
            <w:r w:rsidRPr="000E5CD9">
              <w:rPr>
                <w:bCs/>
              </w:rPr>
              <w:t>Interest</w:t>
            </w:r>
            <w:r>
              <w:rPr>
                <w:bCs/>
              </w:rPr>
              <w:br/>
            </w:r>
            <w:r w:rsidRPr="000E5CD9">
              <w:rPr>
                <w:bCs/>
              </w:rPr>
              <w:t>Rates</w:t>
            </w:r>
          </w:p>
        </w:tc>
        <w:tc>
          <w:tcPr>
            <w:tcW w:w="1386" w:type="dxa"/>
            <w:shd w:val="clear" w:color="auto" w:fill="auto"/>
          </w:tcPr>
          <w:p w14:paraId="451B5C20" w14:textId="77777777" w:rsidR="001C00CC" w:rsidRDefault="001C00CC" w:rsidP="00E12128">
            <w:pPr>
              <w:pStyle w:val="TableColumnHead"/>
              <w:jc w:val="right"/>
            </w:pPr>
            <w:r w:rsidRPr="000E5CD9">
              <w:rPr>
                <w:bCs/>
              </w:rPr>
              <w:t>Without</w:t>
            </w:r>
            <w:r>
              <w:rPr>
                <w:bCs/>
              </w:rPr>
              <w:br/>
              <w:t>Adjusted</w:t>
            </w:r>
            <w:r>
              <w:rPr>
                <w:bCs/>
              </w:rPr>
              <w:br/>
            </w:r>
            <w:r w:rsidRPr="000E5CD9">
              <w:rPr>
                <w:bCs/>
              </w:rPr>
              <w:t>Interest</w:t>
            </w:r>
            <w:r>
              <w:rPr>
                <w:bCs/>
              </w:rPr>
              <w:br/>
            </w:r>
            <w:r w:rsidRPr="000E5CD9">
              <w:rPr>
                <w:bCs/>
              </w:rPr>
              <w:t>Rates</w:t>
            </w:r>
          </w:p>
        </w:tc>
      </w:tr>
      <w:tr w:rsidR="001C00CC" w:rsidRPr="00E10BE3" w14:paraId="57CB03CF" w14:textId="77777777" w:rsidTr="00E12128">
        <w:trPr>
          <w:cantSplit/>
        </w:trPr>
        <w:tc>
          <w:tcPr>
            <w:tcW w:w="1385" w:type="dxa"/>
            <w:shd w:val="clear" w:color="auto" w:fill="auto"/>
          </w:tcPr>
          <w:p w14:paraId="27AC3C92" w14:textId="77777777" w:rsidR="001C00CC" w:rsidRPr="00E10BE3" w:rsidRDefault="001C00CC" w:rsidP="00E12128">
            <w:pPr>
              <w:pStyle w:val="Tablecopy"/>
            </w:pPr>
            <w:r w:rsidRPr="00E10BE3">
              <w:t>Funding Target Attainment Percentage</w:t>
            </w:r>
          </w:p>
        </w:tc>
        <w:tc>
          <w:tcPr>
            <w:tcW w:w="1385" w:type="dxa"/>
            <w:shd w:val="clear" w:color="auto" w:fill="auto"/>
          </w:tcPr>
          <w:p w14:paraId="159C67A3" w14:textId="77777777" w:rsidR="001C00CC" w:rsidRPr="00E10BE3" w:rsidRDefault="001C00CC" w:rsidP="00E12128">
            <w:pPr>
              <w:pStyle w:val="Tablecopy"/>
              <w:jc w:val="right"/>
            </w:pPr>
            <w:r>
              <w:t>93.48%</w:t>
            </w:r>
          </w:p>
        </w:tc>
        <w:tc>
          <w:tcPr>
            <w:tcW w:w="1385" w:type="dxa"/>
            <w:shd w:val="clear" w:color="auto" w:fill="auto"/>
          </w:tcPr>
          <w:p w14:paraId="2C408D57" w14:textId="77777777" w:rsidR="001C00CC" w:rsidRPr="00E10BE3" w:rsidRDefault="001C00CC" w:rsidP="00E12128">
            <w:pPr>
              <w:pStyle w:val="Tablecopy"/>
              <w:jc w:val="right"/>
            </w:pPr>
            <w:r>
              <w:t>86.36%</w:t>
            </w:r>
          </w:p>
        </w:tc>
        <w:tc>
          <w:tcPr>
            <w:tcW w:w="1386" w:type="dxa"/>
            <w:shd w:val="clear" w:color="auto" w:fill="auto"/>
          </w:tcPr>
          <w:p w14:paraId="437B1421" w14:textId="77777777" w:rsidR="001C00CC" w:rsidRPr="00E10BE3" w:rsidRDefault="001C00CC" w:rsidP="00E12128">
            <w:pPr>
              <w:pStyle w:val="Tablecopy"/>
              <w:jc w:val="right"/>
            </w:pPr>
            <w:r>
              <w:t>93.88%</w:t>
            </w:r>
          </w:p>
        </w:tc>
        <w:tc>
          <w:tcPr>
            <w:tcW w:w="1479" w:type="dxa"/>
            <w:shd w:val="clear" w:color="auto" w:fill="auto"/>
          </w:tcPr>
          <w:p w14:paraId="63C00170" w14:textId="77777777" w:rsidR="001C00CC" w:rsidRPr="00E10BE3" w:rsidRDefault="001C00CC" w:rsidP="00E12128">
            <w:pPr>
              <w:pStyle w:val="Tablecopy"/>
              <w:jc w:val="right"/>
            </w:pPr>
            <w:r>
              <w:t>73.57%</w:t>
            </w:r>
          </w:p>
        </w:tc>
        <w:tc>
          <w:tcPr>
            <w:tcW w:w="1350" w:type="dxa"/>
            <w:shd w:val="clear" w:color="auto" w:fill="auto"/>
          </w:tcPr>
          <w:p w14:paraId="58042284" w14:textId="77777777" w:rsidR="001C00CC" w:rsidRPr="00E10BE3" w:rsidRDefault="001C00CC" w:rsidP="00E12128">
            <w:pPr>
              <w:pStyle w:val="Tablecopy"/>
              <w:jc w:val="right"/>
            </w:pPr>
            <w:r>
              <w:t>113.92%</w:t>
            </w:r>
          </w:p>
        </w:tc>
        <w:tc>
          <w:tcPr>
            <w:tcW w:w="1386" w:type="dxa"/>
            <w:shd w:val="clear" w:color="auto" w:fill="auto"/>
          </w:tcPr>
          <w:p w14:paraId="31AD1352" w14:textId="77777777" w:rsidR="001C00CC" w:rsidRPr="00E10BE3" w:rsidRDefault="001C00CC" w:rsidP="00E12128">
            <w:pPr>
              <w:pStyle w:val="Tablecopy"/>
              <w:jc w:val="right"/>
            </w:pPr>
            <w:r>
              <w:t>83.86%</w:t>
            </w:r>
          </w:p>
        </w:tc>
      </w:tr>
      <w:tr w:rsidR="001C00CC" w:rsidRPr="00F15064" w14:paraId="7DA79C13" w14:textId="77777777" w:rsidTr="00E12128">
        <w:trPr>
          <w:cantSplit/>
        </w:trPr>
        <w:tc>
          <w:tcPr>
            <w:tcW w:w="1385" w:type="dxa"/>
            <w:shd w:val="clear" w:color="auto" w:fill="auto"/>
          </w:tcPr>
          <w:p w14:paraId="225DFFEE" w14:textId="77777777" w:rsidR="001C00CC" w:rsidRPr="00F15064" w:rsidRDefault="001C00CC" w:rsidP="00E12128">
            <w:pPr>
              <w:pStyle w:val="Tablecopy"/>
            </w:pPr>
            <w:r w:rsidRPr="00F15064">
              <w:t>Funding Shortfall</w:t>
            </w:r>
          </w:p>
        </w:tc>
        <w:tc>
          <w:tcPr>
            <w:tcW w:w="1385" w:type="dxa"/>
            <w:shd w:val="clear" w:color="auto" w:fill="auto"/>
          </w:tcPr>
          <w:p w14:paraId="0B301E3D" w14:textId="77777777" w:rsidR="001C00CC" w:rsidRPr="00F15064" w:rsidRDefault="001C00CC" w:rsidP="00E12128">
            <w:pPr>
              <w:pStyle w:val="Tablecopy"/>
              <w:jc w:val="right"/>
            </w:pPr>
            <w:r>
              <w:t>$32,484,588</w:t>
            </w:r>
          </w:p>
        </w:tc>
        <w:tc>
          <w:tcPr>
            <w:tcW w:w="1385" w:type="dxa"/>
            <w:shd w:val="clear" w:color="auto" w:fill="auto"/>
          </w:tcPr>
          <w:p w14:paraId="5004B64B" w14:textId="77777777" w:rsidR="001C00CC" w:rsidRPr="00F15064" w:rsidRDefault="001C00CC" w:rsidP="00E12128">
            <w:pPr>
              <w:pStyle w:val="Tablecopy"/>
              <w:jc w:val="right"/>
            </w:pPr>
            <w:r>
              <w:t>$73,569,731</w:t>
            </w:r>
          </w:p>
        </w:tc>
        <w:tc>
          <w:tcPr>
            <w:tcW w:w="1386" w:type="dxa"/>
            <w:shd w:val="clear" w:color="auto" w:fill="auto"/>
          </w:tcPr>
          <w:p w14:paraId="5FD2348F" w14:textId="77777777" w:rsidR="001C00CC" w:rsidRPr="00F15064" w:rsidRDefault="001C00CC" w:rsidP="00E12128">
            <w:pPr>
              <w:pStyle w:val="Tablecopy"/>
              <w:jc w:val="right"/>
            </w:pPr>
            <w:r>
              <w:t>$29,035,509</w:t>
            </w:r>
          </w:p>
        </w:tc>
        <w:tc>
          <w:tcPr>
            <w:tcW w:w="1479" w:type="dxa"/>
            <w:shd w:val="clear" w:color="auto" w:fill="auto"/>
          </w:tcPr>
          <w:p w14:paraId="1E373F92" w14:textId="77777777" w:rsidR="001C00CC" w:rsidRPr="00F15064" w:rsidRDefault="001C00CC" w:rsidP="00E12128">
            <w:pPr>
              <w:pStyle w:val="Tablecopy"/>
              <w:jc w:val="right"/>
            </w:pPr>
            <w:r>
              <w:t>$160,027,177</w:t>
            </w:r>
          </w:p>
        </w:tc>
        <w:tc>
          <w:tcPr>
            <w:tcW w:w="1350" w:type="dxa"/>
            <w:shd w:val="clear" w:color="auto" w:fill="auto"/>
          </w:tcPr>
          <w:p w14:paraId="488E93EA" w14:textId="77777777" w:rsidR="001C00CC" w:rsidRPr="00F15064" w:rsidRDefault="001C00CC" w:rsidP="00E12128">
            <w:pPr>
              <w:pStyle w:val="Tablecopy"/>
              <w:ind w:left="-20"/>
              <w:jc w:val="right"/>
            </w:pPr>
            <w:r>
              <w:t>$0</w:t>
            </w:r>
          </w:p>
        </w:tc>
        <w:tc>
          <w:tcPr>
            <w:tcW w:w="1386" w:type="dxa"/>
            <w:shd w:val="clear" w:color="auto" w:fill="auto"/>
          </w:tcPr>
          <w:p w14:paraId="20CD439D" w14:textId="77777777" w:rsidR="001C00CC" w:rsidRPr="00F15064" w:rsidRDefault="001C00CC" w:rsidP="00E12128">
            <w:pPr>
              <w:pStyle w:val="Tablecopy"/>
              <w:jc w:val="right"/>
            </w:pPr>
            <w:r>
              <w:t>$97,955,455</w:t>
            </w:r>
          </w:p>
        </w:tc>
      </w:tr>
      <w:tr w:rsidR="001C00CC" w:rsidRPr="00F15064" w14:paraId="20567599" w14:textId="77777777" w:rsidTr="00E12128">
        <w:trPr>
          <w:cantSplit/>
        </w:trPr>
        <w:tc>
          <w:tcPr>
            <w:tcW w:w="1385" w:type="dxa"/>
            <w:shd w:val="clear" w:color="auto" w:fill="auto"/>
          </w:tcPr>
          <w:p w14:paraId="221B6E07" w14:textId="77777777" w:rsidR="001C00CC" w:rsidRPr="00F15064" w:rsidRDefault="001C00CC" w:rsidP="00E12128">
            <w:pPr>
              <w:pStyle w:val="Tablecopy"/>
            </w:pPr>
            <w:r w:rsidRPr="00F15064">
              <w:t>Minimum Required Contribution</w:t>
            </w:r>
          </w:p>
        </w:tc>
        <w:tc>
          <w:tcPr>
            <w:tcW w:w="1385" w:type="dxa"/>
            <w:shd w:val="clear" w:color="auto" w:fill="auto"/>
          </w:tcPr>
          <w:p w14:paraId="1158D664" w14:textId="77777777" w:rsidR="001C00CC" w:rsidRPr="00F15064" w:rsidRDefault="001C00CC" w:rsidP="00E12128">
            <w:pPr>
              <w:pStyle w:val="Tablecopy"/>
              <w:jc w:val="right"/>
            </w:pPr>
            <w:r>
              <w:t>$18,966,883</w:t>
            </w:r>
          </w:p>
        </w:tc>
        <w:tc>
          <w:tcPr>
            <w:tcW w:w="1385" w:type="dxa"/>
            <w:shd w:val="clear" w:color="auto" w:fill="auto"/>
          </w:tcPr>
          <w:p w14:paraId="1825779F" w14:textId="77777777" w:rsidR="001C00CC" w:rsidRPr="00F15064" w:rsidRDefault="001C00CC" w:rsidP="00E12128">
            <w:pPr>
              <w:pStyle w:val="Tablecopy"/>
              <w:jc w:val="right"/>
            </w:pPr>
            <w:r>
              <w:t>$24,575,828</w:t>
            </w:r>
          </w:p>
        </w:tc>
        <w:tc>
          <w:tcPr>
            <w:tcW w:w="1386" w:type="dxa"/>
            <w:shd w:val="clear" w:color="auto" w:fill="auto"/>
          </w:tcPr>
          <w:p w14:paraId="706AD890" w14:textId="77777777" w:rsidR="001C00CC" w:rsidRPr="00F15064" w:rsidRDefault="001C00CC" w:rsidP="00E12128">
            <w:pPr>
              <w:pStyle w:val="Tablecopy"/>
              <w:jc w:val="right"/>
            </w:pPr>
            <w:r>
              <w:t>$16,896,296</w:t>
            </w:r>
          </w:p>
        </w:tc>
        <w:tc>
          <w:tcPr>
            <w:tcW w:w="1479" w:type="dxa"/>
            <w:shd w:val="clear" w:color="auto" w:fill="auto"/>
          </w:tcPr>
          <w:p w14:paraId="4E03094B" w14:textId="77777777" w:rsidR="001C00CC" w:rsidRPr="00F15064" w:rsidRDefault="001C00CC" w:rsidP="00E12128">
            <w:pPr>
              <w:pStyle w:val="Tablecopy"/>
              <w:jc w:val="right"/>
            </w:pPr>
            <w:r>
              <w:t>$32,685,176</w:t>
            </w:r>
          </w:p>
        </w:tc>
        <w:tc>
          <w:tcPr>
            <w:tcW w:w="1350" w:type="dxa"/>
            <w:shd w:val="clear" w:color="auto" w:fill="auto"/>
          </w:tcPr>
          <w:p w14:paraId="65885B2F" w14:textId="77777777" w:rsidR="001C00CC" w:rsidRPr="00F15064" w:rsidRDefault="001C00CC" w:rsidP="00E12128">
            <w:pPr>
              <w:pStyle w:val="Tablecopy"/>
              <w:jc w:val="right"/>
            </w:pPr>
            <w:r>
              <w:t>$0</w:t>
            </w:r>
          </w:p>
        </w:tc>
        <w:tc>
          <w:tcPr>
            <w:tcW w:w="1386" w:type="dxa"/>
            <w:shd w:val="clear" w:color="auto" w:fill="auto"/>
          </w:tcPr>
          <w:p w14:paraId="3B1F0B37" w14:textId="77777777" w:rsidR="001C00CC" w:rsidRDefault="001C00CC" w:rsidP="00E12128">
            <w:pPr>
              <w:pStyle w:val="Tablecopy"/>
              <w:jc w:val="right"/>
            </w:pPr>
            <w:r>
              <w:t>$30,334,188</w:t>
            </w:r>
          </w:p>
          <w:p w14:paraId="30FE2176" w14:textId="77777777" w:rsidR="001C00CC" w:rsidRPr="00F15064" w:rsidRDefault="001C00CC" w:rsidP="00E12128">
            <w:pPr>
              <w:pStyle w:val="Tablecopy"/>
              <w:jc w:val="right"/>
            </w:pPr>
          </w:p>
        </w:tc>
      </w:tr>
    </w:tbl>
    <w:p w14:paraId="2FEA3E3B" w14:textId="77777777" w:rsidR="001C00CC" w:rsidRPr="002268F7" w:rsidRDefault="001C00CC" w:rsidP="001C00CC"/>
    <w:p w14:paraId="48623A7F" w14:textId="77777777" w:rsidR="001C00CC" w:rsidRDefault="001C00CC" w:rsidP="001C00CC">
      <w:pPr>
        <w:pStyle w:val="Heading4"/>
        <w:pageBreakBefore/>
        <w:spacing w:after="240"/>
        <w:jc w:val="center"/>
        <w:sectPr w:rsidR="001C00CC" w:rsidSect="001C00CC">
          <w:pgSz w:w="12240" w:h="15840" w:code="1"/>
          <w:pgMar w:top="1080" w:right="1440" w:bottom="1195" w:left="1440" w:header="864" w:footer="864" w:gutter="0"/>
          <w:pgNumType w:start="1"/>
          <w:cols w:space="720"/>
          <w:docGrid w:linePitch="360"/>
        </w:sectPr>
      </w:pPr>
    </w:p>
    <w:p w14:paraId="7B6AE48A" w14:textId="77777777" w:rsidR="001C00CC" w:rsidRDefault="001C00CC" w:rsidP="001C00CC">
      <w:pPr>
        <w:rPr>
          <w:rFonts w:ascii="Times New Roman" w:eastAsia="Times New Roman" w:hAnsi="Times New Roman"/>
        </w:rPr>
      </w:pPr>
    </w:p>
    <w:p w14:paraId="18478028" w14:textId="77777777" w:rsidR="001C00CC" w:rsidRDefault="001C00CC">
      <w:pPr>
        <w:pStyle w:val="Heading4"/>
      </w:pPr>
    </w:p>
    <w:sectPr w:rsidR="001C00CC" w:rsidSect="000F38FB">
      <w:headerReference w:type="default" r:id="rId23"/>
      <w:type w:val="continuous"/>
      <w:pgSz w:w="12240" w:h="15840" w:code="1"/>
      <w:pgMar w:top="1080" w:right="1440" w:bottom="1195" w:left="1440" w:header="864" w:footer="86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4DB5C" w14:textId="77777777" w:rsidR="006C2DEA" w:rsidRDefault="006C2DEA">
      <w:r>
        <w:separator/>
      </w:r>
    </w:p>
  </w:endnote>
  <w:endnote w:type="continuationSeparator" w:id="0">
    <w:p w14:paraId="521CCDF9" w14:textId="77777777" w:rsidR="006C2DEA" w:rsidRDefault="006C2DEA">
      <w:r>
        <w:continuationSeparator/>
      </w:r>
    </w:p>
  </w:endnote>
  <w:endnote w:type="continuationNotice" w:id="1">
    <w:p w14:paraId="1E8EC042" w14:textId="77777777" w:rsidR="006C2DEA" w:rsidRDefault="006C2D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33CEF" w14:textId="77777777" w:rsidR="00957DA9" w:rsidRDefault="00957D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AA9F2" w14:textId="77777777" w:rsidR="00957DA9" w:rsidRDefault="00957D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29CC4" w14:textId="77777777" w:rsidR="00957DA9" w:rsidRDefault="00957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0C3FE" w14:textId="77777777" w:rsidR="006C2DEA" w:rsidRDefault="006C2DEA">
      <w:r>
        <w:separator/>
      </w:r>
    </w:p>
  </w:footnote>
  <w:footnote w:type="continuationSeparator" w:id="0">
    <w:p w14:paraId="3C3A76CD" w14:textId="77777777" w:rsidR="006C2DEA" w:rsidRDefault="006C2DEA">
      <w:r>
        <w:continuationSeparator/>
      </w:r>
    </w:p>
  </w:footnote>
  <w:footnote w:type="continuationNotice" w:id="1">
    <w:p w14:paraId="6BDA5E8C" w14:textId="77777777" w:rsidR="006C2DEA" w:rsidRDefault="006C2D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D7BD5" w14:textId="77777777" w:rsidR="00957DA9" w:rsidRDefault="00957D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D1C8B" w14:textId="77777777" w:rsidR="00957DA9" w:rsidRPr="00BC02A4" w:rsidRDefault="00957DA9" w:rsidP="00957DA9">
    <w:pPr>
      <w:pStyle w:val="AonBodyCopy"/>
      <w:ind w:left="7200"/>
    </w:pPr>
    <w:r w:rsidRPr="00FD4562">
      <w:t>April 25, 2025</w:t>
    </w:r>
  </w:p>
  <w:p w14:paraId="5853DF0F" w14:textId="2629D069" w:rsidR="003E6D12" w:rsidRPr="00957DA9" w:rsidRDefault="003E6D12" w:rsidP="00957D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A1C1D" w14:textId="77777777" w:rsidR="00957DA9" w:rsidRDefault="00957DA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902FA" w14:textId="77777777" w:rsidR="000F38FB" w:rsidRPr="000F38FB" w:rsidRDefault="000F38FB" w:rsidP="00147DA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59F68AD8"/>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125E1CC4"/>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C7D01B5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F01ABF0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80A8110A"/>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9F81F1A"/>
    <w:multiLevelType w:val="multilevel"/>
    <w:tmpl w:val="B3C4D8B2"/>
    <w:styleLink w:val="AonList"/>
    <w:lvl w:ilvl="0">
      <w:start w:val="1"/>
      <w:numFmt w:val="bullet"/>
      <w:pStyle w:val="AonBullet1"/>
      <w:lvlText w:val=""/>
      <w:lvlJc w:val="left"/>
      <w:pPr>
        <w:tabs>
          <w:tab w:val="num" w:pos="360"/>
        </w:tabs>
        <w:ind w:left="360" w:hanging="360"/>
      </w:pPr>
      <w:rPr>
        <w:rFonts w:ascii="Wingdings" w:hAnsi="Wingdings" w:cs="Times New Roman" w:hint="default"/>
        <w:color w:val="auto"/>
        <w:sz w:val="20"/>
        <w:szCs w:val="20"/>
      </w:rPr>
    </w:lvl>
    <w:lvl w:ilvl="1">
      <w:start w:val="1"/>
      <w:numFmt w:val="bullet"/>
      <w:pStyle w:val="AonBullet2"/>
      <w:lvlText w:val="–"/>
      <w:lvlJc w:val="left"/>
      <w:pPr>
        <w:tabs>
          <w:tab w:val="num" w:pos="720"/>
        </w:tabs>
        <w:ind w:left="720" w:hanging="360"/>
      </w:pPr>
      <w:rPr>
        <w:rFonts w:ascii="Arial" w:hAnsi="Arial" w:cs="Times New Roman" w:hint="default"/>
        <w:b/>
        <w:i w:val="0"/>
        <w:color w:val="auto"/>
      </w:rPr>
    </w:lvl>
    <w:lvl w:ilvl="2">
      <w:start w:val="1"/>
      <w:numFmt w:val="bullet"/>
      <w:pStyle w:val="AonBullet3"/>
      <w:lvlText w:val="•"/>
      <w:lvlJc w:val="left"/>
      <w:pPr>
        <w:tabs>
          <w:tab w:val="num" w:pos="1080"/>
        </w:tabs>
        <w:ind w:left="1080" w:hanging="360"/>
      </w:pPr>
      <w:rPr>
        <w:rFonts w:ascii="Arial" w:hAnsi="Arial" w:cs="Times New Roman" w:hint="default"/>
        <w:szCs w:val="20"/>
      </w:rPr>
    </w:lvl>
    <w:lvl w:ilvl="3">
      <w:start w:val="1"/>
      <w:numFmt w:val="bullet"/>
      <w:pStyle w:val="AonBullet4"/>
      <w:lvlText w:val=""/>
      <w:lvlJc w:val="left"/>
      <w:pPr>
        <w:tabs>
          <w:tab w:val="num" w:pos="1440"/>
        </w:tabs>
        <w:ind w:left="1440" w:hanging="360"/>
      </w:pPr>
      <w:rPr>
        <w:rFonts w:ascii="Symbol" w:hAnsi="Symbol" w:cs="Times New Roman" w:hint="default"/>
        <w:sz w:val="20"/>
        <w:szCs w:val="20"/>
      </w:rPr>
    </w:lvl>
    <w:lvl w:ilvl="4">
      <w:start w:val="1"/>
      <w:numFmt w:val="bullet"/>
      <w:pStyle w:val="AonBullet5"/>
      <w:lvlText w:val="-"/>
      <w:lvlJc w:val="left"/>
      <w:pPr>
        <w:tabs>
          <w:tab w:val="num" w:pos="1800"/>
        </w:tabs>
        <w:ind w:left="1800" w:hanging="360"/>
      </w:pPr>
      <w:rPr>
        <w:rFonts w:ascii="Times New Roman" w:hAnsi="Times New Roman" w:cs="Times New Roman" w:hint="default"/>
        <w:szCs w:val="20"/>
      </w:rPr>
    </w:lvl>
    <w:lvl w:ilvl="5">
      <w:start w:val="1"/>
      <w:numFmt w:val="bullet"/>
      <w:lvlText w:val="-"/>
      <w:lvlJc w:val="left"/>
      <w:pPr>
        <w:tabs>
          <w:tab w:val="num" w:pos="3960"/>
        </w:tabs>
        <w:ind w:left="3960" w:hanging="360"/>
      </w:pPr>
      <w:rPr>
        <w:rFonts w:ascii="Courier New" w:hAnsi="Courier New" w:cs="Times New Roman" w:hint="default"/>
        <w:color w:val="auto"/>
      </w:rPr>
    </w:lvl>
    <w:lvl w:ilvl="6">
      <w:start w:val="1"/>
      <w:numFmt w:val="bullet"/>
      <w:lvlText w:val=""/>
      <w:lvlJc w:val="left"/>
      <w:pPr>
        <w:tabs>
          <w:tab w:val="num" w:pos="4680"/>
        </w:tabs>
        <w:ind w:left="4680" w:hanging="360"/>
      </w:pPr>
      <w:rPr>
        <w:rFonts w:ascii="Wingdings" w:hAnsi="Wingdings" w:cs="Times New Roman"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6" w15:restartNumberingAfterBreak="0">
    <w:nsid w:val="0E58020A"/>
    <w:multiLevelType w:val="hybridMultilevel"/>
    <w:tmpl w:val="DB3C1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990A0A"/>
    <w:multiLevelType w:val="hybridMultilevel"/>
    <w:tmpl w:val="B602D958"/>
    <w:lvl w:ilvl="0" w:tplc="AC0271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CF4657"/>
    <w:multiLevelType w:val="hybridMultilevel"/>
    <w:tmpl w:val="91D63BBC"/>
    <w:lvl w:ilvl="0" w:tplc="0409000F">
      <w:start w:val="1"/>
      <w:numFmt w:val="decimal"/>
      <w:lvlText w:val="%1."/>
      <w:lvlJc w:val="left"/>
      <w:pPr>
        <w:ind w:left="839" w:hanging="360"/>
      </w:p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9" w15:restartNumberingAfterBreak="0">
    <w:nsid w:val="291135ED"/>
    <w:multiLevelType w:val="hybridMultilevel"/>
    <w:tmpl w:val="03B0BE0E"/>
    <w:lvl w:ilvl="0" w:tplc="0409000F">
      <w:start w:val="1"/>
      <w:numFmt w:val="decimal"/>
      <w:lvlText w:val="%1."/>
      <w:lvlJc w:val="left"/>
      <w:pPr>
        <w:ind w:left="839" w:hanging="360"/>
      </w:p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10" w15:restartNumberingAfterBreak="0">
    <w:nsid w:val="2E257F44"/>
    <w:multiLevelType w:val="multilevel"/>
    <w:tmpl w:val="5FF6E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0F0DD4"/>
    <w:multiLevelType w:val="multilevel"/>
    <w:tmpl w:val="83389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9D3FD3"/>
    <w:multiLevelType w:val="multilevel"/>
    <w:tmpl w:val="9130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21279C"/>
    <w:multiLevelType w:val="multilevel"/>
    <w:tmpl w:val="A7503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EC6C21"/>
    <w:multiLevelType w:val="multilevel"/>
    <w:tmpl w:val="FDA08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FFD63C8"/>
    <w:multiLevelType w:val="multilevel"/>
    <w:tmpl w:val="8F9E2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110DC4"/>
    <w:multiLevelType w:val="multilevel"/>
    <w:tmpl w:val="40DEF4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36110D8"/>
    <w:multiLevelType w:val="hybridMultilevel"/>
    <w:tmpl w:val="7876A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4B16B3E"/>
    <w:multiLevelType w:val="multilevel"/>
    <w:tmpl w:val="D278C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7926271"/>
    <w:multiLevelType w:val="multilevel"/>
    <w:tmpl w:val="85C09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2"/>
  </w:num>
  <w:num w:numId="4">
    <w:abstractNumId w:val="1"/>
  </w:num>
  <w:num w:numId="5">
    <w:abstractNumId w:val="0"/>
  </w:num>
  <w:num w:numId="6">
    <w:abstractNumId w:val="5"/>
  </w:num>
  <w:num w:numId="7">
    <w:abstractNumId w:val="9"/>
  </w:num>
  <w:num w:numId="8">
    <w:abstractNumId w:val="8"/>
  </w:num>
  <w:num w:numId="9">
    <w:abstractNumId w:val="6"/>
  </w:num>
  <w:num w:numId="10">
    <w:abstractNumId w:val="14"/>
  </w:num>
  <w:num w:numId="11">
    <w:abstractNumId w:val="16"/>
  </w:num>
  <w:num w:numId="12">
    <w:abstractNumId w:val="10"/>
  </w:num>
  <w:num w:numId="13">
    <w:abstractNumId w:val="7"/>
  </w:num>
  <w:num w:numId="14">
    <w:abstractNumId w:val="15"/>
  </w:num>
  <w:num w:numId="15">
    <w:abstractNumId w:val="18"/>
  </w:num>
  <w:num w:numId="16">
    <w:abstractNumId w:val="11"/>
  </w:num>
  <w:num w:numId="17">
    <w:abstractNumId w:val="13"/>
  </w:num>
  <w:num w:numId="18">
    <w:abstractNumId w:val="12"/>
  </w:num>
  <w:num w:numId="19">
    <w:abstractNumId w:val="19"/>
  </w:num>
  <w:num w:numId="20">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DC4"/>
    <w:rsid w:val="00002851"/>
    <w:rsid w:val="00003D0F"/>
    <w:rsid w:val="00005C1E"/>
    <w:rsid w:val="00007E4A"/>
    <w:rsid w:val="00011273"/>
    <w:rsid w:val="00012284"/>
    <w:rsid w:val="00020297"/>
    <w:rsid w:val="00027456"/>
    <w:rsid w:val="000364DE"/>
    <w:rsid w:val="000414E1"/>
    <w:rsid w:val="0004256D"/>
    <w:rsid w:val="0004277C"/>
    <w:rsid w:val="00047154"/>
    <w:rsid w:val="00050252"/>
    <w:rsid w:val="000546E4"/>
    <w:rsid w:val="0005707D"/>
    <w:rsid w:val="00057539"/>
    <w:rsid w:val="0006633C"/>
    <w:rsid w:val="000707D9"/>
    <w:rsid w:val="00077C81"/>
    <w:rsid w:val="00077ED2"/>
    <w:rsid w:val="000820BC"/>
    <w:rsid w:val="00082C57"/>
    <w:rsid w:val="00082F42"/>
    <w:rsid w:val="000863C9"/>
    <w:rsid w:val="00094202"/>
    <w:rsid w:val="00094D1B"/>
    <w:rsid w:val="0009538F"/>
    <w:rsid w:val="00096CE8"/>
    <w:rsid w:val="000A3160"/>
    <w:rsid w:val="000A38E4"/>
    <w:rsid w:val="000A532D"/>
    <w:rsid w:val="000A73E0"/>
    <w:rsid w:val="000B1444"/>
    <w:rsid w:val="000B4A95"/>
    <w:rsid w:val="000B50D7"/>
    <w:rsid w:val="000C12FA"/>
    <w:rsid w:val="000C38F9"/>
    <w:rsid w:val="000C5FD9"/>
    <w:rsid w:val="000C7A95"/>
    <w:rsid w:val="000D1253"/>
    <w:rsid w:val="000D2D15"/>
    <w:rsid w:val="000D3733"/>
    <w:rsid w:val="000E0023"/>
    <w:rsid w:val="000E1CF4"/>
    <w:rsid w:val="000E2162"/>
    <w:rsid w:val="000E55EB"/>
    <w:rsid w:val="000F30CE"/>
    <w:rsid w:val="000F38FB"/>
    <w:rsid w:val="000F3A48"/>
    <w:rsid w:val="000F6D41"/>
    <w:rsid w:val="0010092E"/>
    <w:rsid w:val="001010C1"/>
    <w:rsid w:val="00102C68"/>
    <w:rsid w:val="001047F3"/>
    <w:rsid w:val="00105920"/>
    <w:rsid w:val="00107E1E"/>
    <w:rsid w:val="00110FE0"/>
    <w:rsid w:val="001117F8"/>
    <w:rsid w:val="001128D2"/>
    <w:rsid w:val="001141B7"/>
    <w:rsid w:val="00116627"/>
    <w:rsid w:val="0012609C"/>
    <w:rsid w:val="00126FBE"/>
    <w:rsid w:val="00127F39"/>
    <w:rsid w:val="00133A03"/>
    <w:rsid w:val="00140AEF"/>
    <w:rsid w:val="00140C2A"/>
    <w:rsid w:val="00145C4C"/>
    <w:rsid w:val="0014601C"/>
    <w:rsid w:val="00147DA9"/>
    <w:rsid w:val="0015771B"/>
    <w:rsid w:val="00160B45"/>
    <w:rsid w:val="00163216"/>
    <w:rsid w:val="00166509"/>
    <w:rsid w:val="00174917"/>
    <w:rsid w:val="00174E48"/>
    <w:rsid w:val="00177455"/>
    <w:rsid w:val="00177D5B"/>
    <w:rsid w:val="001825B7"/>
    <w:rsid w:val="00186E23"/>
    <w:rsid w:val="00190354"/>
    <w:rsid w:val="001A073B"/>
    <w:rsid w:val="001A4AF7"/>
    <w:rsid w:val="001B09DE"/>
    <w:rsid w:val="001B0B09"/>
    <w:rsid w:val="001B1EB5"/>
    <w:rsid w:val="001C00CC"/>
    <w:rsid w:val="001C0E3F"/>
    <w:rsid w:val="001C31E1"/>
    <w:rsid w:val="001D131D"/>
    <w:rsid w:val="001E5DDD"/>
    <w:rsid w:val="001E7C4E"/>
    <w:rsid w:val="001F66EE"/>
    <w:rsid w:val="00201ACB"/>
    <w:rsid w:val="00204E0B"/>
    <w:rsid w:val="002064E2"/>
    <w:rsid w:val="00210594"/>
    <w:rsid w:val="00223768"/>
    <w:rsid w:val="002268F7"/>
    <w:rsid w:val="002279DC"/>
    <w:rsid w:val="00231E95"/>
    <w:rsid w:val="00232FB6"/>
    <w:rsid w:val="002339E5"/>
    <w:rsid w:val="00240CD9"/>
    <w:rsid w:val="00246B2D"/>
    <w:rsid w:val="00247426"/>
    <w:rsid w:val="002474EC"/>
    <w:rsid w:val="002542A3"/>
    <w:rsid w:val="00263E75"/>
    <w:rsid w:val="0026566B"/>
    <w:rsid w:val="00267F23"/>
    <w:rsid w:val="0027401E"/>
    <w:rsid w:val="002814D6"/>
    <w:rsid w:val="00282374"/>
    <w:rsid w:val="002871B8"/>
    <w:rsid w:val="002909EF"/>
    <w:rsid w:val="00297B65"/>
    <w:rsid w:val="002A1DD1"/>
    <w:rsid w:val="002A6B2E"/>
    <w:rsid w:val="002A6BA3"/>
    <w:rsid w:val="002B0EBB"/>
    <w:rsid w:val="002B67D0"/>
    <w:rsid w:val="002C0D36"/>
    <w:rsid w:val="002C54F6"/>
    <w:rsid w:val="002C58DE"/>
    <w:rsid w:val="002C5E5A"/>
    <w:rsid w:val="002C6483"/>
    <w:rsid w:val="002D05B3"/>
    <w:rsid w:val="002D060F"/>
    <w:rsid w:val="002D2761"/>
    <w:rsid w:val="002D39DA"/>
    <w:rsid w:val="002D3A47"/>
    <w:rsid w:val="002D6FBE"/>
    <w:rsid w:val="002E03C9"/>
    <w:rsid w:val="002E2854"/>
    <w:rsid w:val="002E2903"/>
    <w:rsid w:val="002E3DD8"/>
    <w:rsid w:val="002E6BBA"/>
    <w:rsid w:val="002F64D5"/>
    <w:rsid w:val="002F7702"/>
    <w:rsid w:val="00301FE6"/>
    <w:rsid w:val="00302939"/>
    <w:rsid w:val="003061FC"/>
    <w:rsid w:val="00315B23"/>
    <w:rsid w:val="00331B0B"/>
    <w:rsid w:val="00336EF2"/>
    <w:rsid w:val="003372C2"/>
    <w:rsid w:val="00337D5D"/>
    <w:rsid w:val="003406EE"/>
    <w:rsid w:val="0034340D"/>
    <w:rsid w:val="00345C81"/>
    <w:rsid w:val="0034744A"/>
    <w:rsid w:val="0035127B"/>
    <w:rsid w:val="00351296"/>
    <w:rsid w:val="00353023"/>
    <w:rsid w:val="00353312"/>
    <w:rsid w:val="0035499F"/>
    <w:rsid w:val="003568C7"/>
    <w:rsid w:val="00360C6A"/>
    <w:rsid w:val="003615E9"/>
    <w:rsid w:val="00362C51"/>
    <w:rsid w:val="0036389F"/>
    <w:rsid w:val="003643D0"/>
    <w:rsid w:val="00365DD3"/>
    <w:rsid w:val="003668A1"/>
    <w:rsid w:val="0037024E"/>
    <w:rsid w:val="003717E0"/>
    <w:rsid w:val="00372095"/>
    <w:rsid w:val="00376DBA"/>
    <w:rsid w:val="00376DC7"/>
    <w:rsid w:val="003822AB"/>
    <w:rsid w:val="00382670"/>
    <w:rsid w:val="0038372A"/>
    <w:rsid w:val="00387070"/>
    <w:rsid w:val="00391566"/>
    <w:rsid w:val="00391FDD"/>
    <w:rsid w:val="003941E0"/>
    <w:rsid w:val="0039434A"/>
    <w:rsid w:val="00396DEB"/>
    <w:rsid w:val="003A027E"/>
    <w:rsid w:val="003A7BD2"/>
    <w:rsid w:val="003B039F"/>
    <w:rsid w:val="003B24E8"/>
    <w:rsid w:val="003C528F"/>
    <w:rsid w:val="003D0837"/>
    <w:rsid w:val="003D1223"/>
    <w:rsid w:val="003D26C2"/>
    <w:rsid w:val="003D275F"/>
    <w:rsid w:val="003D5D9C"/>
    <w:rsid w:val="003D7AB7"/>
    <w:rsid w:val="003E1833"/>
    <w:rsid w:val="003E6D12"/>
    <w:rsid w:val="003E6F64"/>
    <w:rsid w:val="003F1E50"/>
    <w:rsid w:val="003F21F4"/>
    <w:rsid w:val="003F6571"/>
    <w:rsid w:val="00413241"/>
    <w:rsid w:val="004201CB"/>
    <w:rsid w:val="00420780"/>
    <w:rsid w:val="004231B4"/>
    <w:rsid w:val="004235D1"/>
    <w:rsid w:val="00424F78"/>
    <w:rsid w:val="00425C02"/>
    <w:rsid w:val="00426D69"/>
    <w:rsid w:val="00427638"/>
    <w:rsid w:val="00430149"/>
    <w:rsid w:val="00431A1D"/>
    <w:rsid w:val="00431BD2"/>
    <w:rsid w:val="00436E8A"/>
    <w:rsid w:val="004453E8"/>
    <w:rsid w:val="00445F4E"/>
    <w:rsid w:val="00447C61"/>
    <w:rsid w:val="00453616"/>
    <w:rsid w:val="00457E32"/>
    <w:rsid w:val="00466017"/>
    <w:rsid w:val="00466A15"/>
    <w:rsid w:val="00472B03"/>
    <w:rsid w:val="0047309E"/>
    <w:rsid w:val="004732C3"/>
    <w:rsid w:val="0048337A"/>
    <w:rsid w:val="00483540"/>
    <w:rsid w:val="00490AC2"/>
    <w:rsid w:val="004922F7"/>
    <w:rsid w:val="00494E13"/>
    <w:rsid w:val="00495C5F"/>
    <w:rsid w:val="0049754D"/>
    <w:rsid w:val="00497E74"/>
    <w:rsid w:val="004A053E"/>
    <w:rsid w:val="004A1378"/>
    <w:rsid w:val="004A3710"/>
    <w:rsid w:val="004A617A"/>
    <w:rsid w:val="004A7377"/>
    <w:rsid w:val="004A792C"/>
    <w:rsid w:val="004B3150"/>
    <w:rsid w:val="004B3D08"/>
    <w:rsid w:val="004B58BC"/>
    <w:rsid w:val="004C2619"/>
    <w:rsid w:val="004C5FAB"/>
    <w:rsid w:val="004D32DF"/>
    <w:rsid w:val="004F0830"/>
    <w:rsid w:val="005003F1"/>
    <w:rsid w:val="00505A41"/>
    <w:rsid w:val="00512CE3"/>
    <w:rsid w:val="00512E7F"/>
    <w:rsid w:val="00513881"/>
    <w:rsid w:val="0051501B"/>
    <w:rsid w:val="00522166"/>
    <w:rsid w:val="00522414"/>
    <w:rsid w:val="00523E41"/>
    <w:rsid w:val="00525269"/>
    <w:rsid w:val="00532500"/>
    <w:rsid w:val="005347F6"/>
    <w:rsid w:val="005446CD"/>
    <w:rsid w:val="00547487"/>
    <w:rsid w:val="00550362"/>
    <w:rsid w:val="0056373F"/>
    <w:rsid w:val="005644A0"/>
    <w:rsid w:val="00571F3E"/>
    <w:rsid w:val="00575381"/>
    <w:rsid w:val="0058003A"/>
    <w:rsid w:val="005A1344"/>
    <w:rsid w:val="005A708B"/>
    <w:rsid w:val="005A7FCF"/>
    <w:rsid w:val="005C0D93"/>
    <w:rsid w:val="005C0E45"/>
    <w:rsid w:val="005C25AB"/>
    <w:rsid w:val="005C2F6C"/>
    <w:rsid w:val="005C59B3"/>
    <w:rsid w:val="005D0317"/>
    <w:rsid w:val="005D3395"/>
    <w:rsid w:val="005D4595"/>
    <w:rsid w:val="005E0E83"/>
    <w:rsid w:val="005E41DE"/>
    <w:rsid w:val="005E544C"/>
    <w:rsid w:val="005E6E57"/>
    <w:rsid w:val="00602841"/>
    <w:rsid w:val="0060640E"/>
    <w:rsid w:val="0060742A"/>
    <w:rsid w:val="006079DD"/>
    <w:rsid w:val="0062684F"/>
    <w:rsid w:val="00630639"/>
    <w:rsid w:val="00633BF5"/>
    <w:rsid w:val="00635145"/>
    <w:rsid w:val="0063540E"/>
    <w:rsid w:val="00644A7F"/>
    <w:rsid w:val="00645BDD"/>
    <w:rsid w:val="0065004C"/>
    <w:rsid w:val="00652869"/>
    <w:rsid w:val="006540CD"/>
    <w:rsid w:val="006569E6"/>
    <w:rsid w:val="00660749"/>
    <w:rsid w:val="006628F1"/>
    <w:rsid w:val="006632EB"/>
    <w:rsid w:val="00665FA2"/>
    <w:rsid w:val="0066717E"/>
    <w:rsid w:val="0066721B"/>
    <w:rsid w:val="00675E91"/>
    <w:rsid w:val="00676BB6"/>
    <w:rsid w:val="00683D60"/>
    <w:rsid w:val="0068522E"/>
    <w:rsid w:val="00686AB0"/>
    <w:rsid w:val="00694432"/>
    <w:rsid w:val="00694FB5"/>
    <w:rsid w:val="006A2DA2"/>
    <w:rsid w:val="006B5A32"/>
    <w:rsid w:val="006C2DEA"/>
    <w:rsid w:val="006C336B"/>
    <w:rsid w:val="006C4C83"/>
    <w:rsid w:val="006C6D55"/>
    <w:rsid w:val="006C78E1"/>
    <w:rsid w:val="006D1680"/>
    <w:rsid w:val="006D58D5"/>
    <w:rsid w:val="006D7A62"/>
    <w:rsid w:val="006E14B6"/>
    <w:rsid w:val="00701057"/>
    <w:rsid w:val="00701C7A"/>
    <w:rsid w:val="00702B58"/>
    <w:rsid w:val="007117DA"/>
    <w:rsid w:val="00713A8A"/>
    <w:rsid w:val="0071769D"/>
    <w:rsid w:val="00724FE0"/>
    <w:rsid w:val="0072544D"/>
    <w:rsid w:val="0072646C"/>
    <w:rsid w:val="007367C1"/>
    <w:rsid w:val="00741751"/>
    <w:rsid w:val="00752F6E"/>
    <w:rsid w:val="007658F0"/>
    <w:rsid w:val="007676C3"/>
    <w:rsid w:val="00772F21"/>
    <w:rsid w:val="0077664B"/>
    <w:rsid w:val="0078368E"/>
    <w:rsid w:val="00786303"/>
    <w:rsid w:val="00790D9D"/>
    <w:rsid w:val="00791782"/>
    <w:rsid w:val="00791AB8"/>
    <w:rsid w:val="00792516"/>
    <w:rsid w:val="00792BA1"/>
    <w:rsid w:val="00793C8D"/>
    <w:rsid w:val="00796E8C"/>
    <w:rsid w:val="007A0DC1"/>
    <w:rsid w:val="007A13C3"/>
    <w:rsid w:val="007B3F70"/>
    <w:rsid w:val="007B5DD3"/>
    <w:rsid w:val="007B7C86"/>
    <w:rsid w:val="007C0694"/>
    <w:rsid w:val="007C085D"/>
    <w:rsid w:val="007C7A95"/>
    <w:rsid w:val="007D1274"/>
    <w:rsid w:val="007D1420"/>
    <w:rsid w:val="007D183D"/>
    <w:rsid w:val="007D4CE4"/>
    <w:rsid w:val="007D6C17"/>
    <w:rsid w:val="007E0FAD"/>
    <w:rsid w:val="007E400D"/>
    <w:rsid w:val="007E6D4F"/>
    <w:rsid w:val="007F1699"/>
    <w:rsid w:val="007F2502"/>
    <w:rsid w:val="0080079E"/>
    <w:rsid w:val="008052C1"/>
    <w:rsid w:val="008174C8"/>
    <w:rsid w:val="00823D79"/>
    <w:rsid w:val="00824D91"/>
    <w:rsid w:val="00825E52"/>
    <w:rsid w:val="00825E6C"/>
    <w:rsid w:val="00832A56"/>
    <w:rsid w:val="00837CE0"/>
    <w:rsid w:val="00841969"/>
    <w:rsid w:val="00841D0A"/>
    <w:rsid w:val="00844C4C"/>
    <w:rsid w:val="00847517"/>
    <w:rsid w:val="008517FC"/>
    <w:rsid w:val="008518AB"/>
    <w:rsid w:val="008549F2"/>
    <w:rsid w:val="00864A75"/>
    <w:rsid w:val="00866526"/>
    <w:rsid w:val="00874C76"/>
    <w:rsid w:val="0087608E"/>
    <w:rsid w:val="00881BE7"/>
    <w:rsid w:val="00887079"/>
    <w:rsid w:val="00892471"/>
    <w:rsid w:val="008959AD"/>
    <w:rsid w:val="008971CD"/>
    <w:rsid w:val="008A1355"/>
    <w:rsid w:val="008A3251"/>
    <w:rsid w:val="008A3CDA"/>
    <w:rsid w:val="008A4B9A"/>
    <w:rsid w:val="008A5524"/>
    <w:rsid w:val="008A7A8C"/>
    <w:rsid w:val="008B5991"/>
    <w:rsid w:val="008B628F"/>
    <w:rsid w:val="008C2ADB"/>
    <w:rsid w:val="008C2DC4"/>
    <w:rsid w:val="008C5ED1"/>
    <w:rsid w:val="008C76B8"/>
    <w:rsid w:val="008D0205"/>
    <w:rsid w:val="008D117F"/>
    <w:rsid w:val="008D54D8"/>
    <w:rsid w:val="008E4BE5"/>
    <w:rsid w:val="008E4DD2"/>
    <w:rsid w:val="008E5B20"/>
    <w:rsid w:val="008E6F8F"/>
    <w:rsid w:val="008F028F"/>
    <w:rsid w:val="008F0B72"/>
    <w:rsid w:val="008F30AF"/>
    <w:rsid w:val="008F5ED0"/>
    <w:rsid w:val="008F61F5"/>
    <w:rsid w:val="008F6495"/>
    <w:rsid w:val="00907201"/>
    <w:rsid w:val="00910713"/>
    <w:rsid w:val="00911D55"/>
    <w:rsid w:val="009128F8"/>
    <w:rsid w:val="00913AE6"/>
    <w:rsid w:val="009265A6"/>
    <w:rsid w:val="00930693"/>
    <w:rsid w:val="00933AC0"/>
    <w:rsid w:val="00937518"/>
    <w:rsid w:val="00940B36"/>
    <w:rsid w:val="00941B5A"/>
    <w:rsid w:val="0094339C"/>
    <w:rsid w:val="00954551"/>
    <w:rsid w:val="0095592B"/>
    <w:rsid w:val="00957DA9"/>
    <w:rsid w:val="00960245"/>
    <w:rsid w:val="009611A4"/>
    <w:rsid w:val="00961C63"/>
    <w:rsid w:val="009650CC"/>
    <w:rsid w:val="00966C82"/>
    <w:rsid w:val="009671C2"/>
    <w:rsid w:val="00980D49"/>
    <w:rsid w:val="009839AB"/>
    <w:rsid w:val="009922F4"/>
    <w:rsid w:val="0099352B"/>
    <w:rsid w:val="00994585"/>
    <w:rsid w:val="009955D1"/>
    <w:rsid w:val="00997198"/>
    <w:rsid w:val="0099749B"/>
    <w:rsid w:val="009977B1"/>
    <w:rsid w:val="009A19D0"/>
    <w:rsid w:val="009C0AAC"/>
    <w:rsid w:val="009C6104"/>
    <w:rsid w:val="009C7306"/>
    <w:rsid w:val="009D0C6F"/>
    <w:rsid w:val="009D1008"/>
    <w:rsid w:val="009E0144"/>
    <w:rsid w:val="009E232D"/>
    <w:rsid w:val="009E715D"/>
    <w:rsid w:val="00A01BE3"/>
    <w:rsid w:val="00A04B55"/>
    <w:rsid w:val="00A05CBA"/>
    <w:rsid w:val="00A12192"/>
    <w:rsid w:val="00A14E3B"/>
    <w:rsid w:val="00A14E62"/>
    <w:rsid w:val="00A153ED"/>
    <w:rsid w:val="00A22D77"/>
    <w:rsid w:val="00A2365D"/>
    <w:rsid w:val="00A31A53"/>
    <w:rsid w:val="00A32FFE"/>
    <w:rsid w:val="00A33318"/>
    <w:rsid w:val="00A407E3"/>
    <w:rsid w:val="00A41B8D"/>
    <w:rsid w:val="00A458CE"/>
    <w:rsid w:val="00A47072"/>
    <w:rsid w:val="00A52C9B"/>
    <w:rsid w:val="00A55CDD"/>
    <w:rsid w:val="00A625B0"/>
    <w:rsid w:val="00A760B9"/>
    <w:rsid w:val="00A7680F"/>
    <w:rsid w:val="00A77C80"/>
    <w:rsid w:val="00A80D53"/>
    <w:rsid w:val="00A968E9"/>
    <w:rsid w:val="00AA41D0"/>
    <w:rsid w:val="00AA710F"/>
    <w:rsid w:val="00AA77C5"/>
    <w:rsid w:val="00AB1312"/>
    <w:rsid w:val="00AB3BCA"/>
    <w:rsid w:val="00AB42DD"/>
    <w:rsid w:val="00AC33E1"/>
    <w:rsid w:val="00AC36A9"/>
    <w:rsid w:val="00AD0104"/>
    <w:rsid w:val="00AD4737"/>
    <w:rsid w:val="00AD48B4"/>
    <w:rsid w:val="00AD685D"/>
    <w:rsid w:val="00AE3CD7"/>
    <w:rsid w:val="00AE7C1A"/>
    <w:rsid w:val="00AF52EE"/>
    <w:rsid w:val="00AF655F"/>
    <w:rsid w:val="00AF681F"/>
    <w:rsid w:val="00B05B5C"/>
    <w:rsid w:val="00B141C7"/>
    <w:rsid w:val="00B149C4"/>
    <w:rsid w:val="00B14AB6"/>
    <w:rsid w:val="00B14D50"/>
    <w:rsid w:val="00B16D7C"/>
    <w:rsid w:val="00B24B97"/>
    <w:rsid w:val="00B24F07"/>
    <w:rsid w:val="00B3376E"/>
    <w:rsid w:val="00B35C83"/>
    <w:rsid w:val="00B36C32"/>
    <w:rsid w:val="00B376E6"/>
    <w:rsid w:val="00B40C7B"/>
    <w:rsid w:val="00B41479"/>
    <w:rsid w:val="00B42413"/>
    <w:rsid w:val="00B4437E"/>
    <w:rsid w:val="00B617A4"/>
    <w:rsid w:val="00B80D6B"/>
    <w:rsid w:val="00B8115D"/>
    <w:rsid w:val="00B836FD"/>
    <w:rsid w:val="00B86C01"/>
    <w:rsid w:val="00B876A2"/>
    <w:rsid w:val="00B91335"/>
    <w:rsid w:val="00B915FA"/>
    <w:rsid w:val="00B9286C"/>
    <w:rsid w:val="00B9380B"/>
    <w:rsid w:val="00B965A3"/>
    <w:rsid w:val="00BA0532"/>
    <w:rsid w:val="00BA13B1"/>
    <w:rsid w:val="00BA2D7B"/>
    <w:rsid w:val="00BA7DE7"/>
    <w:rsid w:val="00BB3E59"/>
    <w:rsid w:val="00BC2500"/>
    <w:rsid w:val="00BC5BFC"/>
    <w:rsid w:val="00BD13E3"/>
    <w:rsid w:val="00BE0E7E"/>
    <w:rsid w:val="00BE12DF"/>
    <w:rsid w:val="00BE3F93"/>
    <w:rsid w:val="00BE6366"/>
    <w:rsid w:val="00BF1E15"/>
    <w:rsid w:val="00BF548B"/>
    <w:rsid w:val="00C0176D"/>
    <w:rsid w:val="00C06CE1"/>
    <w:rsid w:val="00C11B31"/>
    <w:rsid w:val="00C12E3C"/>
    <w:rsid w:val="00C17CAF"/>
    <w:rsid w:val="00C21BE4"/>
    <w:rsid w:val="00C22C66"/>
    <w:rsid w:val="00C27512"/>
    <w:rsid w:val="00C27983"/>
    <w:rsid w:val="00C42588"/>
    <w:rsid w:val="00C436E6"/>
    <w:rsid w:val="00C52AB8"/>
    <w:rsid w:val="00C55774"/>
    <w:rsid w:val="00C559F3"/>
    <w:rsid w:val="00C55F62"/>
    <w:rsid w:val="00C568E4"/>
    <w:rsid w:val="00C56FA0"/>
    <w:rsid w:val="00C57AEC"/>
    <w:rsid w:val="00C63D44"/>
    <w:rsid w:val="00C64195"/>
    <w:rsid w:val="00C66CEE"/>
    <w:rsid w:val="00C8747E"/>
    <w:rsid w:val="00C8780E"/>
    <w:rsid w:val="00C901CF"/>
    <w:rsid w:val="00C91D61"/>
    <w:rsid w:val="00C9406B"/>
    <w:rsid w:val="00C94117"/>
    <w:rsid w:val="00C977AB"/>
    <w:rsid w:val="00CA0063"/>
    <w:rsid w:val="00CA20C6"/>
    <w:rsid w:val="00CA54FB"/>
    <w:rsid w:val="00CB0769"/>
    <w:rsid w:val="00CB254B"/>
    <w:rsid w:val="00CB72CD"/>
    <w:rsid w:val="00CC1949"/>
    <w:rsid w:val="00CD0880"/>
    <w:rsid w:val="00CD2E76"/>
    <w:rsid w:val="00CD4A8C"/>
    <w:rsid w:val="00CD6279"/>
    <w:rsid w:val="00CD642E"/>
    <w:rsid w:val="00CD772E"/>
    <w:rsid w:val="00CE2318"/>
    <w:rsid w:val="00CE3900"/>
    <w:rsid w:val="00CE6007"/>
    <w:rsid w:val="00CE65BF"/>
    <w:rsid w:val="00CE71F1"/>
    <w:rsid w:val="00CF063E"/>
    <w:rsid w:val="00D01DD4"/>
    <w:rsid w:val="00D0253B"/>
    <w:rsid w:val="00D07F06"/>
    <w:rsid w:val="00D13958"/>
    <w:rsid w:val="00D141CB"/>
    <w:rsid w:val="00D22168"/>
    <w:rsid w:val="00D22788"/>
    <w:rsid w:val="00D25434"/>
    <w:rsid w:val="00D27264"/>
    <w:rsid w:val="00D27E7B"/>
    <w:rsid w:val="00D30D48"/>
    <w:rsid w:val="00D3318B"/>
    <w:rsid w:val="00D43407"/>
    <w:rsid w:val="00D43AB8"/>
    <w:rsid w:val="00D46D41"/>
    <w:rsid w:val="00D5080F"/>
    <w:rsid w:val="00D633C7"/>
    <w:rsid w:val="00D63637"/>
    <w:rsid w:val="00D70F98"/>
    <w:rsid w:val="00D7695D"/>
    <w:rsid w:val="00D81631"/>
    <w:rsid w:val="00D921A5"/>
    <w:rsid w:val="00DA1041"/>
    <w:rsid w:val="00DA1A9A"/>
    <w:rsid w:val="00DB05A8"/>
    <w:rsid w:val="00DB37C9"/>
    <w:rsid w:val="00DC06AF"/>
    <w:rsid w:val="00DC369D"/>
    <w:rsid w:val="00DD21F9"/>
    <w:rsid w:val="00DD3689"/>
    <w:rsid w:val="00DE3157"/>
    <w:rsid w:val="00DE332D"/>
    <w:rsid w:val="00DE3F6B"/>
    <w:rsid w:val="00DF51BF"/>
    <w:rsid w:val="00DF61E5"/>
    <w:rsid w:val="00DF7D63"/>
    <w:rsid w:val="00E01871"/>
    <w:rsid w:val="00E02175"/>
    <w:rsid w:val="00E05514"/>
    <w:rsid w:val="00E05F2B"/>
    <w:rsid w:val="00E10786"/>
    <w:rsid w:val="00E10BE3"/>
    <w:rsid w:val="00E2786D"/>
    <w:rsid w:val="00E33BFC"/>
    <w:rsid w:val="00E405FB"/>
    <w:rsid w:val="00E4064E"/>
    <w:rsid w:val="00E43400"/>
    <w:rsid w:val="00E440CE"/>
    <w:rsid w:val="00E46297"/>
    <w:rsid w:val="00E463FB"/>
    <w:rsid w:val="00E53789"/>
    <w:rsid w:val="00E568F1"/>
    <w:rsid w:val="00E56903"/>
    <w:rsid w:val="00E600B3"/>
    <w:rsid w:val="00E61EA3"/>
    <w:rsid w:val="00E62BD3"/>
    <w:rsid w:val="00E6518F"/>
    <w:rsid w:val="00E664F3"/>
    <w:rsid w:val="00E75361"/>
    <w:rsid w:val="00E82D60"/>
    <w:rsid w:val="00E94685"/>
    <w:rsid w:val="00E95A88"/>
    <w:rsid w:val="00EA6173"/>
    <w:rsid w:val="00EA6760"/>
    <w:rsid w:val="00EB5E9C"/>
    <w:rsid w:val="00EC23FD"/>
    <w:rsid w:val="00EC297E"/>
    <w:rsid w:val="00EC3B49"/>
    <w:rsid w:val="00EC69DC"/>
    <w:rsid w:val="00ED0B2E"/>
    <w:rsid w:val="00ED0E7E"/>
    <w:rsid w:val="00ED4C6A"/>
    <w:rsid w:val="00ED5033"/>
    <w:rsid w:val="00EE1199"/>
    <w:rsid w:val="00EE386C"/>
    <w:rsid w:val="00EF08F9"/>
    <w:rsid w:val="00F15064"/>
    <w:rsid w:val="00F41403"/>
    <w:rsid w:val="00F47EF9"/>
    <w:rsid w:val="00F53DC5"/>
    <w:rsid w:val="00F5570B"/>
    <w:rsid w:val="00F55CD3"/>
    <w:rsid w:val="00F5673F"/>
    <w:rsid w:val="00F576D7"/>
    <w:rsid w:val="00F60519"/>
    <w:rsid w:val="00F62652"/>
    <w:rsid w:val="00F644EC"/>
    <w:rsid w:val="00F71681"/>
    <w:rsid w:val="00F77E75"/>
    <w:rsid w:val="00F85902"/>
    <w:rsid w:val="00F9079E"/>
    <w:rsid w:val="00F921C8"/>
    <w:rsid w:val="00F943EC"/>
    <w:rsid w:val="00F97196"/>
    <w:rsid w:val="00FA0DB1"/>
    <w:rsid w:val="00FA2EEF"/>
    <w:rsid w:val="00FA3760"/>
    <w:rsid w:val="00FA54DB"/>
    <w:rsid w:val="00FB546A"/>
    <w:rsid w:val="00FB553B"/>
    <w:rsid w:val="00FC6741"/>
    <w:rsid w:val="00FC74C6"/>
    <w:rsid w:val="00FC7DBB"/>
    <w:rsid w:val="00FD07CA"/>
    <w:rsid w:val="00FE0465"/>
    <w:rsid w:val="00FE1724"/>
    <w:rsid w:val="00FE48FB"/>
    <w:rsid w:val="00FE7014"/>
    <w:rsid w:val="00FE7F94"/>
    <w:rsid w:val="00FF219C"/>
    <w:rsid w:val="00FF6004"/>
    <w:rsid w:val="00FF7A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A2D764"/>
  <w15:docId w15:val="{15B5BC9B-8C5E-40A7-900B-179960816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Table"/>
    <w:qFormat/>
    <w:rsid w:val="009E232D"/>
    <w:rPr>
      <w:rFonts w:ascii="Arial" w:eastAsia="MS Mincho" w:hAnsi="Arial"/>
    </w:rPr>
  </w:style>
  <w:style w:type="paragraph" w:styleId="Heading1">
    <w:name w:val="heading 1"/>
    <w:aliases w:val="SubHead1"/>
    <w:basedOn w:val="Heading2"/>
    <w:next w:val="AonBodyCopy"/>
    <w:qFormat/>
    <w:rsid w:val="009E232D"/>
    <w:pPr>
      <w:outlineLvl w:val="0"/>
    </w:pPr>
    <w:rPr>
      <w:sz w:val="36"/>
      <w:szCs w:val="36"/>
    </w:rPr>
  </w:style>
  <w:style w:type="paragraph" w:styleId="Heading2">
    <w:name w:val="heading 2"/>
    <w:basedOn w:val="Normal"/>
    <w:next w:val="AonBodyCopy"/>
    <w:qFormat/>
    <w:rsid w:val="009E232D"/>
    <w:pPr>
      <w:keepNext/>
      <w:keepLines/>
      <w:suppressAutoHyphens/>
      <w:autoSpaceDE w:val="0"/>
      <w:autoSpaceDN w:val="0"/>
      <w:adjustRightInd w:val="0"/>
      <w:spacing w:before="240" w:after="120" w:line="264" w:lineRule="auto"/>
      <w:textAlignment w:val="center"/>
      <w:outlineLvl w:val="1"/>
    </w:pPr>
    <w:rPr>
      <w:sz w:val="32"/>
    </w:rPr>
  </w:style>
  <w:style w:type="paragraph" w:styleId="Heading3">
    <w:name w:val="heading 3"/>
    <w:basedOn w:val="Heading2"/>
    <w:next w:val="AonBodyCopy"/>
    <w:qFormat/>
    <w:rsid w:val="009E232D"/>
    <w:pPr>
      <w:outlineLvl w:val="2"/>
    </w:pPr>
    <w:rPr>
      <w:sz w:val="28"/>
    </w:rPr>
  </w:style>
  <w:style w:type="paragraph" w:styleId="Heading4">
    <w:name w:val="heading 4"/>
    <w:basedOn w:val="Normal"/>
    <w:next w:val="AonBodyCopy"/>
    <w:link w:val="Heading4Char"/>
    <w:qFormat/>
    <w:rsid w:val="009E232D"/>
    <w:pPr>
      <w:keepNext/>
      <w:keepLines/>
      <w:suppressAutoHyphens/>
      <w:autoSpaceDE w:val="0"/>
      <w:autoSpaceDN w:val="0"/>
      <w:adjustRightInd w:val="0"/>
      <w:spacing w:line="276" w:lineRule="auto"/>
      <w:textAlignment w:val="center"/>
      <w:outlineLvl w:val="3"/>
    </w:pPr>
    <w:rPr>
      <w:bCs/>
      <w:sz w:val="24"/>
    </w:rPr>
  </w:style>
  <w:style w:type="paragraph" w:styleId="Heading5">
    <w:name w:val="heading 5"/>
    <w:basedOn w:val="Heading4"/>
    <w:next w:val="Normal"/>
    <w:qFormat/>
    <w:rsid w:val="009E232D"/>
    <w:pPr>
      <w:outlineLvl w:val="4"/>
    </w:pPr>
    <w:rPr>
      <w:rFonts w:eastAsia="Times New Roman"/>
      <w:b/>
      <w:bCs w:val="0"/>
      <w:iCs/>
      <w:sz w:val="20"/>
      <w:szCs w:val="26"/>
    </w:rPr>
  </w:style>
  <w:style w:type="paragraph" w:styleId="Heading7">
    <w:name w:val="heading 7"/>
    <w:basedOn w:val="Normal"/>
    <w:next w:val="Normal"/>
    <w:qFormat/>
    <w:rsid w:val="002C54F6"/>
    <w:pPr>
      <w:spacing w:before="240" w:after="60"/>
      <w:outlineLvl w:val="6"/>
    </w:pPr>
    <w:rPr>
      <w:szCs w:val="24"/>
    </w:rPr>
  </w:style>
  <w:style w:type="paragraph" w:styleId="Heading8">
    <w:name w:val="heading 8"/>
    <w:basedOn w:val="Normal"/>
    <w:next w:val="Normal"/>
    <w:qFormat/>
    <w:rsid w:val="002C54F6"/>
    <w:pPr>
      <w:spacing w:before="240" w:after="60"/>
      <w:outlineLvl w:val="7"/>
    </w:pPr>
    <w:rPr>
      <w:i/>
      <w:iCs/>
      <w:szCs w:val="24"/>
    </w:rPr>
  </w:style>
  <w:style w:type="paragraph" w:styleId="Heading9">
    <w:name w:val="heading 9"/>
    <w:basedOn w:val="Normal"/>
    <w:next w:val="Normal"/>
    <w:qFormat/>
    <w:rsid w:val="002C54F6"/>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rsid w:val="00337D5D"/>
    <w:pPr>
      <w:framePr w:w="7920" w:h="1980" w:hRule="exact" w:hSpace="180" w:wrap="auto" w:hAnchor="page" w:xAlign="center" w:yAlign="bottom"/>
      <w:spacing w:line="260" w:lineRule="exact"/>
      <w:ind w:left="2880"/>
    </w:pPr>
    <w:rPr>
      <w:sz w:val="21"/>
      <w:szCs w:val="24"/>
    </w:rPr>
  </w:style>
  <w:style w:type="paragraph" w:styleId="Footer">
    <w:name w:val="footer"/>
    <w:basedOn w:val="Normal"/>
    <w:semiHidden/>
    <w:rsid w:val="009E232D"/>
    <w:pPr>
      <w:tabs>
        <w:tab w:val="center" w:pos="4320"/>
        <w:tab w:val="right" w:pos="8640"/>
      </w:tabs>
    </w:pPr>
  </w:style>
  <w:style w:type="character" w:customStyle="1" w:styleId="FooterDocID">
    <w:name w:val="Footer/DocID"/>
    <w:basedOn w:val="DefaultParagraphFont"/>
    <w:semiHidden/>
    <w:rsid w:val="008A3CDA"/>
    <w:rPr>
      <w:rFonts w:ascii="Arial" w:hAnsi="Arial"/>
      <w:sz w:val="13"/>
    </w:rPr>
  </w:style>
  <w:style w:type="character" w:styleId="FootnoteReference">
    <w:name w:val="footnote reference"/>
    <w:basedOn w:val="DefaultParagraphFont"/>
    <w:rsid w:val="009E232D"/>
    <w:rPr>
      <w:vertAlign w:val="superscript"/>
    </w:rPr>
  </w:style>
  <w:style w:type="paragraph" w:styleId="FootnoteText">
    <w:name w:val="footnote text"/>
    <w:basedOn w:val="Normal"/>
    <w:rsid w:val="009E232D"/>
    <w:pPr>
      <w:ind w:hanging="86"/>
    </w:pPr>
    <w:rPr>
      <w:sz w:val="18"/>
    </w:rPr>
  </w:style>
  <w:style w:type="paragraph" w:styleId="Header">
    <w:name w:val="header"/>
    <w:basedOn w:val="Normal"/>
    <w:rsid w:val="009E232D"/>
    <w:pPr>
      <w:tabs>
        <w:tab w:val="center" w:pos="4320"/>
        <w:tab w:val="right" w:pos="8640"/>
      </w:tabs>
    </w:pPr>
  </w:style>
  <w:style w:type="paragraph" w:styleId="ListBullet">
    <w:name w:val="List Bullet"/>
    <w:basedOn w:val="Normal"/>
    <w:autoRedefine/>
    <w:semiHidden/>
    <w:rsid w:val="002C54F6"/>
    <w:pPr>
      <w:numPr>
        <w:numId w:val="1"/>
      </w:numPr>
    </w:pPr>
  </w:style>
  <w:style w:type="paragraph" w:customStyle="1" w:styleId="NoteParagraphItalic">
    <w:name w:val="Note: Paragraph/Italic"/>
    <w:basedOn w:val="AonBodyCopy"/>
    <w:next w:val="AonBodyCopy"/>
    <w:rsid w:val="009E232D"/>
    <w:rPr>
      <w:i/>
    </w:rPr>
  </w:style>
  <w:style w:type="character" w:customStyle="1" w:styleId="NoteSubtitleBold-Italic">
    <w:name w:val="Note: Subtitle/Bold-Italic"/>
    <w:basedOn w:val="DefaultParagraphFont"/>
    <w:rsid w:val="008A3CDA"/>
    <w:rPr>
      <w:rFonts w:ascii="Arial" w:hAnsi="Arial"/>
      <w:b/>
      <w:sz w:val="20"/>
    </w:rPr>
  </w:style>
  <w:style w:type="character" w:styleId="PageNumber">
    <w:name w:val="page number"/>
    <w:basedOn w:val="DefaultParagraphFont"/>
    <w:rsid w:val="009E232D"/>
    <w:rPr>
      <w:rFonts w:ascii="Arial" w:eastAsia="MS Mincho" w:hAnsi="Arial"/>
      <w:sz w:val="14"/>
      <w:szCs w:val="24"/>
      <w:lang w:val="en-US" w:eastAsia="en-US" w:bidi="ar-SA"/>
    </w:rPr>
  </w:style>
  <w:style w:type="paragraph" w:customStyle="1" w:styleId="CCList">
    <w:name w:val="CC List"/>
    <w:basedOn w:val="Normal"/>
    <w:rsid w:val="008C2DC4"/>
    <w:pPr>
      <w:tabs>
        <w:tab w:val="left" w:pos="331"/>
      </w:tabs>
      <w:ind w:left="331" w:hanging="331"/>
    </w:pPr>
  </w:style>
  <w:style w:type="paragraph" w:styleId="BalloonText">
    <w:name w:val="Balloon Text"/>
    <w:basedOn w:val="Normal"/>
    <w:semiHidden/>
    <w:rsid w:val="00BF1E15"/>
    <w:rPr>
      <w:rFonts w:ascii="Tahoma" w:hAnsi="Tahoma" w:cs="Tahoma"/>
      <w:sz w:val="16"/>
      <w:szCs w:val="16"/>
    </w:rPr>
  </w:style>
  <w:style w:type="paragraph" w:styleId="ListBullet2">
    <w:name w:val="List Bullet 2"/>
    <w:basedOn w:val="Normal"/>
    <w:autoRedefine/>
    <w:semiHidden/>
    <w:rsid w:val="002C54F6"/>
    <w:pPr>
      <w:numPr>
        <w:numId w:val="2"/>
      </w:numPr>
    </w:pPr>
  </w:style>
  <w:style w:type="paragraph" w:styleId="ListBullet3">
    <w:name w:val="List Bullet 3"/>
    <w:basedOn w:val="Normal"/>
    <w:autoRedefine/>
    <w:semiHidden/>
    <w:rsid w:val="002C54F6"/>
    <w:pPr>
      <w:numPr>
        <w:numId w:val="3"/>
      </w:numPr>
    </w:pPr>
  </w:style>
  <w:style w:type="paragraph" w:styleId="ListBullet4">
    <w:name w:val="List Bullet 4"/>
    <w:basedOn w:val="Normal"/>
    <w:autoRedefine/>
    <w:semiHidden/>
    <w:rsid w:val="002C54F6"/>
    <w:pPr>
      <w:numPr>
        <w:numId w:val="4"/>
      </w:numPr>
    </w:pPr>
  </w:style>
  <w:style w:type="paragraph" w:styleId="ListBullet5">
    <w:name w:val="List Bullet 5"/>
    <w:basedOn w:val="Normal"/>
    <w:autoRedefine/>
    <w:semiHidden/>
    <w:rsid w:val="002C54F6"/>
    <w:pPr>
      <w:numPr>
        <w:numId w:val="5"/>
      </w:numPr>
    </w:pPr>
  </w:style>
  <w:style w:type="paragraph" w:styleId="NormalWeb">
    <w:name w:val="Normal (Web)"/>
    <w:basedOn w:val="Normal"/>
    <w:semiHidden/>
    <w:rsid w:val="00337D5D"/>
    <w:rPr>
      <w:sz w:val="21"/>
      <w:szCs w:val="24"/>
    </w:rPr>
  </w:style>
  <w:style w:type="table" w:styleId="Table3Deffects1">
    <w:name w:val="Table 3D effects 1"/>
    <w:basedOn w:val="TableNormal"/>
    <w:semiHidden/>
    <w:rsid w:val="002C54F6"/>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C54F6"/>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C54F6"/>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2C54F6"/>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4">
    <w:name w:val="Table Classic 4"/>
    <w:basedOn w:val="TableNormal"/>
    <w:semiHidden/>
    <w:rsid w:val="002C54F6"/>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C54F6"/>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lassic3">
    <w:name w:val="Table Classic 3"/>
    <w:basedOn w:val="TableNormal"/>
    <w:semiHidden/>
    <w:rsid w:val="002C54F6"/>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2">
    <w:name w:val="Table Classic 2"/>
    <w:basedOn w:val="TableNormal"/>
    <w:semiHidden/>
    <w:rsid w:val="002C54F6"/>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olorful2">
    <w:name w:val="Table Colorful 2"/>
    <w:basedOn w:val="TableNormal"/>
    <w:semiHidden/>
    <w:rsid w:val="002C54F6"/>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C54F6"/>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C54F6"/>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C54F6"/>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C54F6"/>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C54F6"/>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C54F6"/>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2C54F6"/>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C54F6"/>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9E232D"/>
    <w:rPr>
      <w:rFonts w:ascii="Arial" w:eastAsia="MS Mincho"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2C54F6"/>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C54F6"/>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C54F6"/>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F943EC"/>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F943EC"/>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F943EC"/>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F943EC"/>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F943EC"/>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F943EC"/>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F943EC"/>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F943EC"/>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F943EC"/>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F943EC"/>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F943EC"/>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F943EC"/>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F943EC"/>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F943EC"/>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F943EC"/>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F943EC"/>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F943EC"/>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F943EC"/>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F943EC"/>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F943E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F943EC"/>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F943EC"/>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F943EC"/>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EndnoteReference">
    <w:name w:val="endnote reference"/>
    <w:basedOn w:val="DefaultParagraphFont"/>
    <w:semiHidden/>
    <w:rsid w:val="008A3CDA"/>
    <w:rPr>
      <w:rFonts w:ascii="Arial" w:hAnsi="Arial"/>
      <w:sz w:val="16"/>
      <w:vertAlign w:val="superscript"/>
    </w:rPr>
  </w:style>
  <w:style w:type="paragraph" w:styleId="BodyText">
    <w:name w:val="Body Text"/>
    <w:basedOn w:val="Normal"/>
    <w:rsid w:val="008A3CDA"/>
    <w:rPr>
      <w:sz w:val="16"/>
    </w:rPr>
  </w:style>
  <w:style w:type="paragraph" w:styleId="Caption">
    <w:name w:val="caption"/>
    <w:basedOn w:val="Normal"/>
    <w:next w:val="Normal"/>
    <w:qFormat/>
    <w:rsid w:val="00337D5D"/>
    <w:pPr>
      <w:spacing w:before="120" w:after="120"/>
    </w:pPr>
    <w:rPr>
      <w:b/>
      <w:bCs/>
    </w:rPr>
  </w:style>
  <w:style w:type="character" w:styleId="FollowedHyperlink">
    <w:name w:val="FollowedHyperlink"/>
    <w:basedOn w:val="DefaultParagraphFont"/>
    <w:semiHidden/>
    <w:rsid w:val="008A3CDA"/>
    <w:rPr>
      <w:rFonts w:ascii="Arial" w:hAnsi="Arial"/>
      <w:color w:val="606420"/>
      <w:u w:val="single"/>
    </w:rPr>
  </w:style>
  <w:style w:type="character" w:styleId="Hyperlink">
    <w:name w:val="Hyperlink"/>
    <w:basedOn w:val="DefaultParagraphFont"/>
    <w:rsid w:val="009E232D"/>
    <w:rPr>
      <w:rFonts w:ascii="Arial" w:eastAsia="MS Mincho" w:hAnsi="Arial"/>
      <w:color w:val="0000FF"/>
      <w:szCs w:val="24"/>
      <w:u w:val="single"/>
      <w:lang w:val="en-US" w:eastAsia="en-US" w:bidi="ar-SA"/>
    </w:rPr>
  </w:style>
  <w:style w:type="character" w:styleId="LineNumber">
    <w:name w:val="line number"/>
    <w:basedOn w:val="DefaultParagraphFont"/>
    <w:semiHidden/>
    <w:rsid w:val="008A3CDA"/>
    <w:rPr>
      <w:rFonts w:ascii="Arial" w:hAnsi="Arial"/>
    </w:rPr>
  </w:style>
  <w:style w:type="paragraph" w:styleId="Title">
    <w:name w:val="Title"/>
    <w:basedOn w:val="Normal"/>
    <w:qFormat/>
    <w:rsid w:val="008A3CDA"/>
    <w:pPr>
      <w:spacing w:before="240" w:after="60"/>
      <w:jc w:val="center"/>
      <w:outlineLvl w:val="0"/>
    </w:pPr>
    <w:rPr>
      <w:b/>
      <w:bCs/>
      <w:kern w:val="28"/>
      <w:sz w:val="28"/>
      <w:szCs w:val="32"/>
    </w:rPr>
  </w:style>
  <w:style w:type="paragraph" w:styleId="TOAHeading">
    <w:name w:val="toa heading"/>
    <w:basedOn w:val="Normal"/>
    <w:next w:val="Normal"/>
    <w:semiHidden/>
    <w:rsid w:val="008A3CDA"/>
    <w:pPr>
      <w:spacing w:before="120"/>
    </w:pPr>
    <w:rPr>
      <w:b/>
      <w:bCs/>
      <w:szCs w:val="24"/>
    </w:rPr>
  </w:style>
  <w:style w:type="paragraph" w:styleId="TOC1">
    <w:name w:val="toc 1"/>
    <w:basedOn w:val="Normal"/>
    <w:next w:val="Normal"/>
    <w:rsid w:val="009E232D"/>
    <w:pPr>
      <w:tabs>
        <w:tab w:val="right" w:pos="7920"/>
      </w:tabs>
      <w:spacing w:before="240" w:after="240"/>
    </w:pPr>
    <w:rPr>
      <w:b/>
      <w:noProof/>
    </w:rPr>
  </w:style>
  <w:style w:type="paragraph" w:styleId="TOC2">
    <w:name w:val="toc 2"/>
    <w:basedOn w:val="TOC3"/>
    <w:rsid w:val="009E232D"/>
    <w:rPr>
      <w:noProof/>
    </w:rPr>
  </w:style>
  <w:style w:type="character" w:styleId="CommentReference">
    <w:name w:val="annotation reference"/>
    <w:basedOn w:val="DefaultParagraphFont"/>
    <w:uiPriority w:val="99"/>
    <w:semiHidden/>
    <w:rsid w:val="00660749"/>
    <w:rPr>
      <w:sz w:val="16"/>
      <w:szCs w:val="16"/>
    </w:rPr>
  </w:style>
  <w:style w:type="paragraph" w:styleId="CommentText">
    <w:name w:val="annotation text"/>
    <w:basedOn w:val="Normal"/>
    <w:link w:val="CommentTextChar"/>
    <w:uiPriority w:val="99"/>
    <w:rsid w:val="00660749"/>
  </w:style>
  <w:style w:type="paragraph" w:styleId="CommentSubject">
    <w:name w:val="annotation subject"/>
    <w:basedOn w:val="CommentText"/>
    <w:next w:val="CommentText"/>
    <w:semiHidden/>
    <w:rsid w:val="00660749"/>
    <w:rPr>
      <w:b/>
      <w:bCs/>
    </w:rPr>
  </w:style>
  <w:style w:type="paragraph" w:customStyle="1" w:styleId="Default">
    <w:name w:val="Default"/>
    <w:rsid w:val="00E10BE3"/>
    <w:pPr>
      <w:autoSpaceDE w:val="0"/>
      <w:autoSpaceDN w:val="0"/>
      <w:adjustRightInd w:val="0"/>
    </w:pPr>
    <w:rPr>
      <w:rFonts w:ascii="Tahoma" w:eastAsia="MS Mincho" w:hAnsi="Tahoma" w:cs="Tahoma"/>
      <w:color w:val="000000"/>
      <w:sz w:val="24"/>
      <w:szCs w:val="24"/>
      <w:lang w:eastAsia="ja-JP" w:bidi="ta-IN"/>
    </w:rPr>
  </w:style>
  <w:style w:type="paragraph" w:customStyle="1" w:styleId="AonBodyCopy">
    <w:name w:val="Aon Body Copy"/>
    <w:basedOn w:val="Normal"/>
    <w:rsid w:val="009E232D"/>
    <w:pPr>
      <w:spacing w:after="240" w:line="264" w:lineRule="auto"/>
    </w:pPr>
  </w:style>
  <w:style w:type="paragraph" w:customStyle="1" w:styleId="AonContactName">
    <w:name w:val="Aon Contact Name"/>
    <w:basedOn w:val="Normal"/>
    <w:rsid w:val="009E232D"/>
    <w:pPr>
      <w:spacing w:line="264" w:lineRule="auto"/>
    </w:pPr>
    <w:rPr>
      <w:b/>
      <w:bCs/>
    </w:rPr>
  </w:style>
  <w:style w:type="paragraph" w:customStyle="1" w:styleId="AonPageNumber">
    <w:name w:val="Aon Page Number"/>
    <w:basedOn w:val="Normal"/>
    <w:rsid w:val="009E232D"/>
    <w:pPr>
      <w:jc w:val="right"/>
    </w:pPr>
    <w:rPr>
      <w:sz w:val="14"/>
      <w:szCs w:val="14"/>
    </w:rPr>
  </w:style>
  <w:style w:type="numbering" w:customStyle="1" w:styleId="AonList">
    <w:name w:val="Aon List"/>
    <w:rsid w:val="009E232D"/>
    <w:pPr>
      <w:numPr>
        <w:numId w:val="6"/>
      </w:numPr>
    </w:pPr>
  </w:style>
  <w:style w:type="paragraph" w:customStyle="1" w:styleId="AonContact">
    <w:name w:val="Aon Contact"/>
    <w:basedOn w:val="AonBodyCopy"/>
    <w:rsid w:val="009E232D"/>
    <w:pPr>
      <w:spacing w:after="0"/>
    </w:pPr>
  </w:style>
  <w:style w:type="character" w:customStyle="1" w:styleId="AonBlue">
    <w:name w:val="Aon  Blue"/>
    <w:rsid w:val="009E232D"/>
    <w:rPr>
      <w:color w:val="0083A9"/>
    </w:rPr>
  </w:style>
  <w:style w:type="paragraph" w:customStyle="1" w:styleId="AonBullet1">
    <w:name w:val="Aon Bullet 1"/>
    <w:basedOn w:val="Normal"/>
    <w:rsid w:val="009E232D"/>
    <w:pPr>
      <w:numPr>
        <w:numId w:val="6"/>
      </w:numPr>
      <w:spacing w:after="120"/>
    </w:pPr>
  </w:style>
  <w:style w:type="paragraph" w:customStyle="1" w:styleId="TableofContentsHeader">
    <w:name w:val="Table of Contents Header"/>
    <w:basedOn w:val="Normal"/>
    <w:next w:val="AonBodyCopy"/>
    <w:rsid w:val="009E232D"/>
    <w:pPr>
      <w:keepNext/>
      <w:keepLines/>
      <w:suppressAutoHyphens/>
      <w:spacing w:before="120" w:after="240" w:line="264" w:lineRule="auto"/>
    </w:pPr>
    <w:rPr>
      <w:sz w:val="36"/>
      <w:szCs w:val="36"/>
    </w:rPr>
  </w:style>
  <w:style w:type="paragraph" w:styleId="TOC3">
    <w:name w:val="toc 3"/>
    <w:basedOn w:val="Normal"/>
    <w:next w:val="Normal"/>
    <w:rsid w:val="009E232D"/>
    <w:pPr>
      <w:tabs>
        <w:tab w:val="right" w:pos="7920"/>
      </w:tabs>
      <w:spacing w:line="480" w:lineRule="auto"/>
    </w:pPr>
    <w:rPr>
      <w:rFonts w:eastAsia="Times"/>
    </w:rPr>
  </w:style>
  <w:style w:type="paragraph" w:customStyle="1" w:styleId="AonDocumentTitle">
    <w:name w:val="Aon Document Title"/>
    <w:basedOn w:val="Normal"/>
    <w:rsid w:val="009E232D"/>
    <w:pPr>
      <w:autoSpaceDE w:val="0"/>
      <w:autoSpaceDN w:val="0"/>
      <w:adjustRightInd w:val="0"/>
      <w:spacing w:after="240" w:line="264" w:lineRule="auto"/>
      <w:textAlignment w:val="center"/>
    </w:pPr>
    <w:rPr>
      <w:sz w:val="64"/>
      <w:szCs w:val="64"/>
    </w:rPr>
  </w:style>
  <w:style w:type="paragraph" w:customStyle="1" w:styleId="AonBullet2">
    <w:name w:val="Aon Bullet 2"/>
    <w:basedOn w:val="Normal"/>
    <w:rsid w:val="009E232D"/>
    <w:pPr>
      <w:numPr>
        <w:ilvl w:val="1"/>
        <w:numId w:val="6"/>
      </w:numPr>
      <w:spacing w:after="120"/>
    </w:pPr>
  </w:style>
  <w:style w:type="paragraph" w:customStyle="1" w:styleId="AonFooter">
    <w:name w:val="Aon Footer"/>
    <w:basedOn w:val="Normal"/>
    <w:rsid w:val="009E232D"/>
    <w:pPr>
      <w:tabs>
        <w:tab w:val="right" w:pos="9187"/>
      </w:tabs>
    </w:pPr>
    <w:rPr>
      <w:color w:val="4D4F53"/>
      <w:sz w:val="14"/>
    </w:rPr>
  </w:style>
  <w:style w:type="paragraph" w:customStyle="1" w:styleId="AonLevel1">
    <w:name w:val="Aon Level 1"/>
    <w:basedOn w:val="Normal"/>
    <w:rsid w:val="009E232D"/>
    <w:rPr>
      <w:b/>
      <w:bCs/>
      <w:sz w:val="26"/>
      <w:szCs w:val="26"/>
    </w:rPr>
  </w:style>
  <w:style w:type="table" w:customStyle="1" w:styleId="TableBandingOnly">
    <w:name w:val="Table Banding Only"/>
    <w:basedOn w:val="TableNormal"/>
    <w:rsid w:val="009E232D"/>
    <w:rPr>
      <w:rFonts w:ascii="Arial" w:eastAsia="MS Mincho" w:hAnsi="Arial"/>
    </w:rPr>
    <w:tblPr>
      <w:tblStyleRowBandSize w:val="1"/>
      <w:tblStyleColBandSize w:val="2"/>
      <w:tblBorders>
        <w:insideH w:val="single" w:sz="4" w:space="0" w:color="808080"/>
      </w:tblBorders>
    </w:tblPr>
    <w:trPr>
      <w:cantSplit/>
    </w:trPr>
    <w:tblStylePr w:type="firstRow">
      <w:pPr>
        <w:jc w:val="left"/>
      </w:pPr>
      <w:rPr>
        <w:rFonts w:ascii="Arial" w:hAnsi="Arial"/>
        <w:b/>
      </w:rPr>
      <w:tblPr/>
      <w:trPr>
        <w:tblHeader/>
      </w:trPr>
      <w:tcPr>
        <w:tcBorders>
          <w:top w:val="nil"/>
          <w:left w:val="nil"/>
          <w:bottom w:val="single" w:sz="8" w:space="0" w:color="808080"/>
          <w:right w:val="nil"/>
          <w:insideH w:val="nil"/>
          <w:insideV w:val="nil"/>
          <w:tl2br w:val="nil"/>
          <w:tr2bl w:val="nil"/>
        </w:tcBorders>
        <w:vAlign w:val="bottom"/>
      </w:tcPr>
    </w:tblStylePr>
    <w:tblStylePr w:type="band1Horz">
      <w:tblPr/>
      <w:tcPr>
        <w:tcBorders>
          <w:top w:val="nil"/>
          <w:left w:val="nil"/>
          <w:bottom w:val="nil"/>
          <w:right w:val="nil"/>
          <w:insideH w:val="nil"/>
          <w:insideV w:val="nil"/>
          <w:tl2br w:val="nil"/>
          <w:tr2bl w:val="nil"/>
        </w:tcBorders>
        <w:shd w:val="clear" w:color="auto" w:fill="E6E6E6"/>
      </w:tcPr>
    </w:tblStylePr>
  </w:style>
  <w:style w:type="paragraph" w:customStyle="1" w:styleId="AonLevel2">
    <w:name w:val="Aon Level 2"/>
    <w:basedOn w:val="Normal"/>
    <w:rsid w:val="009E232D"/>
    <w:pPr>
      <w:tabs>
        <w:tab w:val="center" w:pos="4320"/>
        <w:tab w:val="right" w:pos="8640"/>
      </w:tabs>
    </w:pPr>
    <w:rPr>
      <w:sz w:val="22"/>
      <w:szCs w:val="22"/>
    </w:rPr>
  </w:style>
  <w:style w:type="paragraph" w:styleId="TOC4">
    <w:name w:val="toc 4"/>
    <w:basedOn w:val="Normal"/>
    <w:next w:val="Normal"/>
    <w:autoRedefine/>
    <w:rsid w:val="009E232D"/>
    <w:pPr>
      <w:tabs>
        <w:tab w:val="right" w:pos="7920"/>
      </w:tabs>
      <w:spacing w:line="480" w:lineRule="auto"/>
    </w:pPr>
    <w:rPr>
      <w:rFonts w:eastAsia="Times"/>
    </w:rPr>
  </w:style>
  <w:style w:type="paragraph" w:customStyle="1" w:styleId="AonSub-Title">
    <w:name w:val="Aon Sub-Title"/>
    <w:basedOn w:val="Normal"/>
    <w:rsid w:val="009E232D"/>
    <w:pPr>
      <w:keepNext/>
      <w:keepLines/>
      <w:suppressAutoHyphens/>
      <w:autoSpaceDE w:val="0"/>
      <w:autoSpaceDN w:val="0"/>
      <w:adjustRightInd w:val="0"/>
      <w:spacing w:before="300" w:after="100"/>
      <w:textAlignment w:val="center"/>
    </w:pPr>
    <w:rPr>
      <w:i/>
      <w:sz w:val="32"/>
    </w:rPr>
  </w:style>
  <w:style w:type="paragraph" w:customStyle="1" w:styleId="AonBullet3">
    <w:name w:val="Aon Bullet 3"/>
    <w:basedOn w:val="Normal"/>
    <w:rsid w:val="009E232D"/>
    <w:pPr>
      <w:numPr>
        <w:ilvl w:val="2"/>
        <w:numId w:val="6"/>
      </w:numPr>
      <w:spacing w:after="120"/>
    </w:pPr>
  </w:style>
  <w:style w:type="paragraph" w:customStyle="1" w:styleId="AonLegalCopy">
    <w:name w:val="Aon Legal Copy"/>
    <w:basedOn w:val="Normal"/>
    <w:rsid w:val="009E232D"/>
    <w:pPr>
      <w:spacing w:line="264" w:lineRule="auto"/>
    </w:pPr>
    <w:rPr>
      <w:sz w:val="16"/>
      <w:szCs w:val="16"/>
    </w:rPr>
  </w:style>
  <w:style w:type="paragraph" w:styleId="TOC6">
    <w:name w:val="toc 6"/>
    <w:basedOn w:val="Normal"/>
    <w:next w:val="Normal"/>
    <w:autoRedefine/>
    <w:semiHidden/>
    <w:rsid w:val="009E232D"/>
    <w:pPr>
      <w:ind w:left="1000"/>
    </w:pPr>
    <w:rPr>
      <w:rFonts w:ascii="Times New Roman" w:hAnsi="Times New Roman"/>
    </w:rPr>
  </w:style>
  <w:style w:type="paragraph" w:styleId="TOC7">
    <w:name w:val="toc 7"/>
    <w:basedOn w:val="Normal"/>
    <w:next w:val="Normal"/>
    <w:autoRedefine/>
    <w:semiHidden/>
    <w:rsid w:val="009E232D"/>
    <w:pPr>
      <w:ind w:left="1200"/>
    </w:pPr>
    <w:rPr>
      <w:rFonts w:ascii="Times New Roman" w:hAnsi="Times New Roman"/>
    </w:rPr>
  </w:style>
  <w:style w:type="paragraph" w:styleId="TOC8">
    <w:name w:val="toc 8"/>
    <w:basedOn w:val="Normal"/>
    <w:next w:val="Normal"/>
    <w:autoRedefine/>
    <w:semiHidden/>
    <w:rsid w:val="009E232D"/>
    <w:pPr>
      <w:ind w:left="1400"/>
    </w:pPr>
    <w:rPr>
      <w:rFonts w:ascii="Times New Roman" w:hAnsi="Times New Roman"/>
    </w:rPr>
  </w:style>
  <w:style w:type="paragraph" w:styleId="TOC9">
    <w:name w:val="toc 9"/>
    <w:basedOn w:val="Normal"/>
    <w:next w:val="Normal"/>
    <w:autoRedefine/>
    <w:semiHidden/>
    <w:rsid w:val="009E232D"/>
    <w:pPr>
      <w:ind w:left="1600"/>
    </w:pPr>
    <w:rPr>
      <w:rFonts w:ascii="Times New Roman" w:hAnsi="Times New Roman"/>
    </w:rPr>
  </w:style>
  <w:style w:type="paragraph" w:customStyle="1" w:styleId="TableRowHead">
    <w:name w:val="TableRowHead"/>
    <w:basedOn w:val="Normal"/>
    <w:rsid w:val="009E232D"/>
    <w:pPr>
      <w:spacing w:before="40" w:line="200" w:lineRule="atLeast"/>
    </w:pPr>
    <w:rPr>
      <w:rFonts w:cs="Arial"/>
      <w:b/>
    </w:rPr>
  </w:style>
  <w:style w:type="table" w:customStyle="1" w:styleId="TableBlue">
    <w:name w:val="Table Blue"/>
    <w:basedOn w:val="TableNormal"/>
    <w:rsid w:val="009E232D"/>
    <w:rPr>
      <w:rFonts w:ascii="Arial" w:eastAsia="MS Mincho" w:hAnsi="Arial"/>
    </w:rPr>
    <w:tblPr>
      <w:tblBorders>
        <w:insideH w:val="single" w:sz="4" w:space="0" w:color="808080"/>
      </w:tblBorders>
    </w:tblPr>
    <w:trPr>
      <w:cantSplit/>
    </w:trPr>
    <w:tblStylePr w:type="firstRow">
      <w:pPr>
        <w:jc w:val="left"/>
      </w:pPr>
      <w:rPr>
        <w:rFonts w:ascii="Arial" w:hAnsi="Arial"/>
        <w:b/>
        <w:color w:val="FFFFFF"/>
      </w:rPr>
      <w:tblPr/>
      <w:trPr>
        <w:cantSplit/>
        <w:tblHeader/>
      </w:trPr>
      <w:tcPr>
        <w:tcBorders>
          <w:top w:val="nil"/>
          <w:left w:val="nil"/>
          <w:bottom w:val="single" w:sz="8" w:space="0" w:color="808080"/>
          <w:right w:val="nil"/>
          <w:insideH w:val="nil"/>
          <w:insideV w:val="nil"/>
          <w:tl2br w:val="nil"/>
          <w:tr2bl w:val="nil"/>
        </w:tcBorders>
        <w:shd w:val="clear" w:color="auto" w:fill="0083A9"/>
        <w:vAlign w:val="bottom"/>
      </w:tcPr>
    </w:tblStylePr>
  </w:style>
  <w:style w:type="paragraph" w:customStyle="1" w:styleId="Tablecopy">
    <w:name w:val="Tablecopy"/>
    <w:basedOn w:val="Normal"/>
    <w:rsid w:val="009E232D"/>
    <w:pPr>
      <w:spacing w:before="40" w:line="200" w:lineRule="atLeast"/>
    </w:pPr>
    <w:rPr>
      <w:rFonts w:cs="Arial"/>
    </w:rPr>
  </w:style>
  <w:style w:type="paragraph" w:customStyle="1" w:styleId="AonBullet4">
    <w:name w:val="Aon Bullet 4"/>
    <w:basedOn w:val="Normal"/>
    <w:rsid w:val="009E232D"/>
    <w:pPr>
      <w:numPr>
        <w:ilvl w:val="3"/>
        <w:numId w:val="6"/>
      </w:numPr>
      <w:spacing w:after="120"/>
    </w:pPr>
    <w:rPr>
      <w:lang w:val="de-DE"/>
    </w:rPr>
  </w:style>
  <w:style w:type="paragraph" w:customStyle="1" w:styleId="AonBullet5">
    <w:name w:val="Aon Bullet 5"/>
    <w:basedOn w:val="Normal"/>
    <w:rsid w:val="009E232D"/>
    <w:pPr>
      <w:numPr>
        <w:ilvl w:val="4"/>
        <w:numId w:val="6"/>
      </w:numPr>
      <w:spacing w:after="120"/>
    </w:pPr>
  </w:style>
  <w:style w:type="character" w:customStyle="1" w:styleId="AonBrown">
    <w:name w:val="Aon  Brown"/>
    <w:rsid w:val="009E232D"/>
    <w:rPr>
      <w:color w:val="4F4525"/>
    </w:rPr>
  </w:style>
  <w:style w:type="paragraph" w:customStyle="1" w:styleId="TableColumnHead">
    <w:name w:val="TableColumnHead"/>
    <w:basedOn w:val="Normal"/>
    <w:rsid w:val="009E232D"/>
    <w:pPr>
      <w:spacing w:after="60"/>
    </w:pPr>
    <w:rPr>
      <w:rFonts w:eastAsia="Times" w:cs="Arial"/>
      <w:b/>
    </w:rPr>
  </w:style>
  <w:style w:type="paragraph" w:customStyle="1" w:styleId="TableHeader">
    <w:name w:val="TableHeader"/>
    <w:basedOn w:val="Normal"/>
    <w:rsid w:val="009E232D"/>
    <w:rPr>
      <w:rFonts w:eastAsia="Times" w:cs="Arial"/>
      <w:b/>
    </w:rPr>
  </w:style>
  <w:style w:type="paragraph" w:customStyle="1" w:styleId="TableTitle">
    <w:name w:val="TableTitle"/>
    <w:basedOn w:val="Normal"/>
    <w:rsid w:val="009E232D"/>
    <w:pPr>
      <w:autoSpaceDE w:val="0"/>
      <w:autoSpaceDN w:val="0"/>
      <w:adjustRightInd w:val="0"/>
      <w:spacing w:after="240"/>
      <w:textAlignment w:val="center"/>
    </w:pPr>
    <w:rPr>
      <w:rFonts w:eastAsia="Times New Roman"/>
      <w:b/>
      <w:bCs/>
      <w:color w:val="000000"/>
    </w:rPr>
  </w:style>
  <w:style w:type="character" w:customStyle="1" w:styleId="AonCream">
    <w:name w:val="Aon  Cream"/>
    <w:rsid w:val="009E232D"/>
    <w:rPr>
      <w:color w:val="D3CD8B"/>
    </w:rPr>
  </w:style>
  <w:style w:type="character" w:customStyle="1" w:styleId="AonDarkBlue">
    <w:name w:val="Aon  Dark Blue"/>
    <w:rsid w:val="009E232D"/>
    <w:rPr>
      <w:color w:val="00338D"/>
    </w:rPr>
  </w:style>
  <w:style w:type="character" w:customStyle="1" w:styleId="AonDarkGray">
    <w:name w:val="Aon  Dark Gray"/>
    <w:rsid w:val="009E232D"/>
    <w:rPr>
      <w:color w:val="4D4F53"/>
    </w:rPr>
  </w:style>
  <w:style w:type="character" w:customStyle="1" w:styleId="AonGold">
    <w:name w:val="Aon  Gold"/>
    <w:rsid w:val="009E232D"/>
    <w:rPr>
      <w:color w:val="F0AB00"/>
    </w:rPr>
  </w:style>
  <w:style w:type="character" w:customStyle="1" w:styleId="AonGreen">
    <w:name w:val="Aon  Green"/>
    <w:rsid w:val="009E232D"/>
    <w:rPr>
      <w:color w:val="7AB800"/>
    </w:rPr>
  </w:style>
  <w:style w:type="character" w:customStyle="1" w:styleId="AonLightBlue">
    <w:name w:val="Aon  Light Blue"/>
    <w:rsid w:val="009E232D"/>
    <w:rPr>
      <w:color w:val="5EB6E4"/>
    </w:rPr>
  </w:style>
  <w:style w:type="character" w:customStyle="1" w:styleId="AonRed">
    <w:name w:val="Aon  Red"/>
    <w:rsid w:val="009E232D"/>
    <w:rPr>
      <w:color w:val="E11B22"/>
    </w:rPr>
  </w:style>
  <w:style w:type="character" w:customStyle="1" w:styleId="AonYellow">
    <w:name w:val="Aon  Yellow"/>
    <w:rsid w:val="009E232D"/>
    <w:rPr>
      <w:color w:val="FFE600"/>
    </w:rPr>
  </w:style>
  <w:style w:type="character" w:customStyle="1" w:styleId="AonBold">
    <w:name w:val="Aon Bold"/>
    <w:basedOn w:val="DefaultParagraphFont"/>
    <w:rsid w:val="009E232D"/>
    <w:rPr>
      <w:rFonts w:ascii="Arial" w:eastAsia="MS Mincho" w:hAnsi="Arial"/>
      <w:b/>
      <w:bCs/>
      <w:sz w:val="20"/>
      <w:szCs w:val="24"/>
      <w:lang w:val="en-US" w:eastAsia="en-US" w:bidi="ar-SA"/>
    </w:rPr>
  </w:style>
  <w:style w:type="character" w:customStyle="1" w:styleId="AonFooterBold">
    <w:name w:val="Aon Footer Bold"/>
    <w:basedOn w:val="DefaultParagraphFont"/>
    <w:rsid w:val="009E232D"/>
    <w:rPr>
      <w:rFonts w:ascii="Arial" w:eastAsia="MS Mincho" w:hAnsi="Arial"/>
      <w:b/>
      <w:color w:val="auto"/>
      <w:sz w:val="14"/>
      <w:szCs w:val="24"/>
      <w:lang w:val="en-US" w:eastAsia="en-US" w:bidi="ar-SA"/>
    </w:rPr>
  </w:style>
  <w:style w:type="character" w:customStyle="1" w:styleId="AonFooterDividerLines">
    <w:name w:val="Aon Footer Divider Lines"/>
    <w:basedOn w:val="DefaultParagraphFont"/>
    <w:rsid w:val="009E232D"/>
    <w:rPr>
      <w:rFonts w:ascii="Arial" w:eastAsia="MS Mincho" w:hAnsi="Arial"/>
      <w:position w:val="1"/>
      <w:szCs w:val="24"/>
      <w:lang w:val="en-US" w:eastAsia="en-US" w:bidi="ar-SA"/>
    </w:rPr>
  </w:style>
  <w:style w:type="paragraph" w:customStyle="1" w:styleId="AonDivider">
    <w:name w:val="Aon Divider"/>
    <w:basedOn w:val="Heading1"/>
    <w:next w:val="Normal"/>
    <w:rsid w:val="009E232D"/>
    <w:pPr>
      <w:pageBreakBefore/>
      <w:spacing w:before="0" w:after="0" w:line="240" w:lineRule="auto"/>
    </w:pPr>
    <w:rPr>
      <w:rFonts w:eastAsia="Times New Roman"/>
      <w:b/>
      <w:sz w:val="44"/>
    </w:rPr>
  </w:style>
  <w:style w:type="table" w:customStyle="1" w:styleId="TableBlueBanding">
    <w:name w:val="Table Blue Banding"/>
    <w:basedOn w:val="TableNormal"/>
    <w:rsid w:val="009E232D"/>
    <w:rPr>
      <w:rFonts w:ascii="Arial" w:eastAsia="MS Mincho" w:hAnsi="Arial"/>
    </w:rPr>
    <w:tblPr>
      <w:tblStyleRowBandSize w:val="1"/>
      <w:tblBorders>
        <w:insideH w:val="single" w:sz="4" w:space="0" w:color="808080"/>
      </w:tblBorders>
    </w:tblPr>
    <w:trPr>
      <w:cantSplit/>
    </w:trPr>
    <w:tblStylePr w:type="firstRow">
      <w:pPr>
        <w:jc w:val="left"/>
      </w:pPr>
      <w:rPr>
        <w:b/>
        <w:color w:val="FFFFFF"/>
      </w:rPr>
      <w:tblPr/>
      <w:trPr>
        <w:cantSplit/>
        <w:tblHeader/>
      </w:trPr>
      <w:tcPr>
        <w:tcBorders>
          <w:top w:val="nil"/>
          <w:left w:val="nil"/>
          <w:bottom w:val="single" w:sz="8" w:space="0" w:color="808080"/>
          <w:right w:val="nil"/>
          <w:insideH w:val="nil"/>
          <w:insideV w:val="nil"/>
          <w:tl2br w:val="nil"/>
          <w:tr2bl w:val="nil"/>
        </w:tcBorders>
        <w:shd w:val="clear" w:color="auto" w:fill="0083A9"/>
        <w:vAlign w:val="bottom"/>
      </w:tcPr>
    </w:tblStylePr>
    <w:tblStylePr w:type="band2Horz">
      <w:tblPr/>
      <w:tcPr>
        <w:tcBorders>
          <w:top w:val="nil"/>
          <w:left w:val="nil"/>
          <w:bottom w:val="nil"/>
          <w:right w:val="nil"/>
          <w:insideH w:val="nil"/>
          <w:insideV w:val="nil"/>
          <w:tl2br w:val="nil"/>
          <w:tr2bl w:val="nil"/>
        </w:tcBorders>
        <w:shd w:val="clear" w:color="auto" w:fill="E6E6E6"/>
      </w:tcPr>
    </w:tblStylePr>
  </w:style>
  <w:style w:type="table" w:customStyle="1" w:styleId="TableBordersOnly">
    <w:name w:val="Table Borders Only"/>
    <w:basedOn w:val="TableNormal"/>
    <w:rsid w:val="009E232D"/>
    <w:rPr>
      <w:rFonts w:ascii="Arial" w:eastAsia="MS Mincho" w:hAnsi="Arial"/>
    </w:rPr>
    <w:tblPr>
      <w:tblBorders>
        <w:insideH w:val="single" w:sz="4" w:space="0" w:color="808080"/>
      </w:tblBorders>
    </w:tblPr>
    <w:trPr>
      <w:cantSplit/>
    </w:trPr>
    <w:tblStylePr w:type="firstRow">
      <w:pPr>
        <w:jc w:val="left"/>
      </w:pPr>
      <w:rPr>
        <w:b/>
      </w:rPr>
      <w:tblPr/>
      <w:trPr>
        <w:cantSplit w:val="0"/>
        <w:tblHeader/>
      </w:trPr>
      <w:tcPr>
        <w:tcBorders>
          <w:top w:val="nil"/>
          <w:left w:val="nil"/>
          <w:bottom w:val="single" w:sz="8" w:space="0" w:color="808080"/>
          <w:right w:val="nil"/>
          <w:insideH w:val="nil"/>
          <w:insideV w:val="nil"/>
          <w:tl2br w:val="nil"/>
          <w:tr2bl w:val="nil"/>
        </w:tcBorders>
        <w:vAlign w:val="bottom"/>
      </w:tcPr>
    </w:tblStylePr>
  </w:style>
  <w:style w:type="table" w:customStyle="1" w:styleId="TableBrown">
    <w:name w:val="Table Brown"/>
    <w:basedOn w:val="TableNormal"/>
    <w:rsid w:val="009E232D"/>
    <w:rPr>
      <w:rFonts w:ascii="Arial" w:eastAsia="MS Mincho" w:hAnsi="Arial"/>
    </w:rPr>
    <w:tblPr>
      <w:tblBorders>
        <w:insideH w:val="single" w:sz="4" w:space="0" w:color="808080"/>
      </w:tblBorders>
    </w:tblPr>
    <w:trPr>
      <w:cantSplit/>
    </w:trPr>
    <w:tblStylePr w:type="firstRow">
      <w:pPr>
        <w:jc w:val="left"/>
      </w:pPr>
      <w:rPr>
        <w:b/>
        <w:color w:val="FFFFFF"/>
      </w:rPr>
      <w:tblPr/>
      <w:trPr>
        <w:tblHeader/>
      </w:trPr>
      <w:tcPr>
        <w:tcBorders>
          <w:top w:val="nil"/>
          <w:left w:val="nil"/>
          <w:bottom w:val="single" w:sz="8" w:space="0" w:color="808080"/>
          <w:right w:val="nil"/>
          <w:insideH w:val="nil"/>
          <w:insideV w:val="nil"/>
          <w:tl2br w:val="nil"/>
          <w:tr2bl w:val="nil"/>
        </w:tcBorders>
        <w:shd w:val="clear" w:color="auto" w:fill="4F4C25"/>
        <w:vAlign w:val="bottom"/>
      </w:tcPr>
    </w:tblStylePr>
  </w:style>
  <w:style w:type="table" w:customStyle="1" w:styleId="TableBrownBanding">
    <w:name w:val="Table Brown Banding"/>
    <w:basedOn w:val="TableNormal"/>
    <w:rsid w:val="009E232D"/>
    <w:rPr>
      <w:rFonts w:ascii="Arial" w:eastAsia="MS Mincho" w:hAnsi="Arial"/>
    </w:rPr>
    <w:tblPr>
      <w:tblStyleRowBandSize w:val="1"/>
      <w:tblBorders>
        <w:insideH w:val="single" w:sz="4" w:space="0" w:color="808080"/>
      </w:tblBorders>
    </w:tblPr>
    <w:trPr>
      <w:cantSplit/>
    </w:trPr>
    <w:tblStylePr w:type="firstRow">
      <w:pPr>
        <w:jc w:val="left"/>
      </w:pPr>
      <w:rPr>
        <w:b/>
        <w:color w:val="FFFFFF"/>
      </w:rPr>
      <w:tblPr/>
      <w:trPr>
        <w:cantSplit w:val="0"/>
        <w:tblHeader/>
      </w:trPr>
      <w:tcPr>
        <w:tcBorders>
          <w:top w:val="nil"/>
          <w:left w:val="nil"/>
          <w:bottom w:val="single" w:sz="8" w:space="0" w:color="808080"/>
          <w:right w:val="nil"/>
          <w:insideH w:val="nil"/>
          <w:insideV w:val="nil"/>
          <w:tl2br w:val="nil"/>
          <w:tr2bl w:val="nil"/>
        </w:tcBorders>
        <w:shd w:val="clear" w:color="auto" w:fill="4F4C25"/>
        <w:vAlign w:val="bottom"/>
      </w:tcPr>
    </w:tblStylePr>
    <w:tblStylePr w:type="band2Horz">
      <w:tblPr/>
      <w:tcPr>
        <w:tcBorders>
          <w:top w:val="nil"/>
          <w:left w:val="nil"/>
          <w:bottom w:val="nil"/>
          <w:right w:val="nil"/>
          <w:insideH w:val="nil"/>
          <w:insideV w:val="nil"/>
          <w:tl2br w:val="nil"/>
          <w:tr2bl w:val="nil"/>
        </w:tcBorders>
        <w:shd w:val="clear" w:color="auto" w:fill="E6E6E6"/>
      </w:tcPr>
    </w:tblStylePr>
  </w:style>
  <w:style w:type="table" w:customStyle="1" w:styleId="TableCream">
    <w:name w:val="Table Cream"/>
    <w:basedOn w:val="TableNormal"/>
    <w:rsid w:val="009E232D"/>
    <w:rPr>
      <w:rFonts w:ascii="Arial" w:eastAsia="MS Mincho" w:hAnsi="Arial"/>
    </w:rPr>
    <w:tblPr>
      <w:tblBorders>
        <w:insideH w:val="single" w:sz="4" w:space="0" w:color="808080"/>
      </w:tblBorders>
    </w:tblPr>
    <w:trPr>
      <w:cantSplit/>
    </w:trPr>
    <w:tblStylePr w:type="firstRow">
      <w:pPr>
        <w:jc w:val="left"/>
      </w:pPr>
      <w:rPr>
        <w:b/>
        <w:color w:val="auto"/>
      </w:rPr>
      <w:tblPr/>
      <w:trPr>
        <w:tblHeader/>
      </w:trPr>
      <w:tcPr>
        <w:tcBorders>
          <w:top w:val="nil"/>
          <w:left w:val="nil"/>
          <w:bottom w:val="single" w:sz="8" w:space="0" w:color="808080"/>
          <w:right w:val="nil"/>
          <w:insideH w:val="nil"/>
          <w:insideV w:val="nil"/>
          <w:tl2br w:val="nil"/>
          <w:tr2bl w:val="nil"/>
        </w:tcBorders>
        <w:shd w:val="clear" w:color="auto" w:fill="D3CD8B"/>
        <w:vAlign w:val="bottom"/>
      </w:tcPr>
    </w:tblStylePr>
    <w:tblStylePr w:type="lastRow">
      <w:tblPr/>
      <w:trPr>
        <w:cantSplit/>
      </w:trPr>
    </w:tblStylePr>
  </w:style>
  <w:style w:type="table" w:customStyle="1" w:styleId="TableCreamBanding">
    <w:name w:val="Table Cream Banding"/>
    <w:basedOn w:val="TableNormal"/>
    <w:rsid w:val="009E232D"/>
    <w:rPr>
      <w:rFonts w:ascii="Arial" w:eastAsia="MS Mincho" w:hAnsi="Arial"/>
    </w:rPr>
    <w:tblPr>
      <w:tblStyleRowBandSize w:val="1"/>
      <w:tblBorders>
        <w:insideH w:val="single" w:sz="4" w:space="0" w:color="808080"/>
      </w:tblBorders>
    </w:tblPr>
    <w:trPr>
      <w:cantSplit/>
    </w:trPr>
    <w:tblStylePr w:type="firstRow">
      <w:pPr>
        <w:jc w:val="left"/>
      </w:pPr>
      <w:rPr>
        <w:b/>
        <w:color w:val="auto"/>
      </w:rPr>
      <w:tblPr/>
      <w:trPr>
        <w:cantSplit/>
        <w:tblHeader/>
      </w:trPr>
      <w:tcPr>
        <w:tcBorders>
          <w:top w:val="nil"/>
          <w:left w:val="nil"/>
          <w:bottom w:val="single" w:sz="8" w:space="0" w:color="808080"/>
          <w:right w:val="nil"/>
          <w:insideH w:val="nil"/>
          <w:insideV w:val="nil"/>
          <w:tl2br w:val="nil"/>
          <w:tr2bl w:val="nil"/>
        </w:tcBorders>
        <w:shd w:val="clear" w:color="auto" w:fill="D3CD8B"/>
        <w:vAlign w:val="bottom"/>
      </w:tcPr>
    </w:tblStylePr>
    <w:tblStylePr w:type="band2Horz">
      <w:tblPr/>
      <w:tcPr>
        <w:tcBorders>
          <w:top w:val="nil"/>
          <w:left w:val="nil"/>
          <w:bottom w:val="nil"/>
          <w:right w:val="nil"/>
          <w:insideH w:val="nil"/>
          <w:insideV w:val="nil"/>
          <w:tl2br w:val="nil"/>
          <w:tr2bl w:val="nil"/>
        </w:tcBorders>
        <w:shd w:val="clear" w:color="auto" w:fill="E6E6E6"/>
      </w:tcPr>
    </w:tblStylePr>
  </w:style>
  <w:style w:type="table" w:customStyle="1" w:styleId="TableDarkBlue">
    <w:name w:val="Table Dark Blue"/>
    <w:basedOn w:val="TableNormal"/>
    <w:rsid w:val="009E232D"/>
    <w:rPr>
      <w:rFonts w:ascii="Arial" w:eastAsia="MS Mincho" w:hAnsi="Arial"/>
    </w:rPr>
    <w:tblPr>
      <w:tblBorders>
        <w:insideH w:val="single" w:sz="4" w:space="0" w:color="808080"/>
      </w:tblBorders>
    </w:tblPr>
    <w:trPr>
      <w:cantSplit/>
    </w:trPr>
    <w:tblStylePr w:type="firstRow">
      <w:pPr>
        <w:jc w:val="left"/>
      </w:pPr>
      <w:rPr>
        <w:b/>
        <w:color w:val="FFFFFF"/>
      </w:rPr>
      <w:tblPr/>
      <w:trPr>
        <w:tblHeader/>
      </w:trPr>
      <w:tcPr>
        <w:tcBorders>
          <w:top w:val="nil"/>
          <w:left w:val="nil"/>
          <w:bottom w:val="single" w:sz="8" w:space="0" w:color="808080"/>
          <w:right w:val="nil"/>
          <w:insideH w:val="nil"/>
          <w:insideV w:val="nil"/>
          <w:tl2br w:val="nil"/>
          <w:tr2bl w:val="nil"/>
        </w:tcBorders>
        <w:shd w:val="clear" w:color="auto" w:fill="0039A6"/>
        <w:vAlign w:val="bottom"/>
      </w:tcPr>
    </w:tblStylePr>
    <w:tblStylePr w:type="lastRow">
      <w:tblPr/>
      <w:trPr>
        <w:cantSplit/>
      </w:trPr>
    </w:tblStylePr>
  </w:style>
  <w:style w:type="table" w:customStyle="1" w:styleId="TableDarkBlueBanding">
    <w:name w:val="Table Dark Blue Banding"/>
    <w:basedOn w:val="TableNormal"/>
    <w:rsid w:val="009E232D"/>
    <w:rPr>
      <w:rFonts w:ascii="Arial" w:eastAsia="MS Mincho" w:hAnsi="Arial"/>
    </w:rPr>
    <w:tblPr>
      <w:tblStyleRowBandSize w:val="1"/>
      <w:tblBorders>
        <w:insideH w:val="single" w:sz="4" w:space="0" w:color="808080"/>
      </w:tblBorders>
    </w:tblPr>
    <w:trPr>
      <w:cantSplit/>
    </w:trPr>
    <w:tblStylePr w:type="firstRow">
      <w:pPr>
        <w:jc w:val="left"/>
      </w:pPr>
      <w:rPr>
        <w:b/>
        <w:color w:val="FFFFFF"/>
      </w:rPr>
      <w:tblPr/>
      <w:trPr>
        <w:tblHeader/>
      </w:trPr>
      <w:tcPr>
        <w:tcBorders>
          <w:top w:val="nil"/>
          <w:left w:val="nil"/>
          <w:bottom w:val="single" w:sz="8" w:space="0" w:color="808080"/>
          <w:right w:val="nil"/>
          <w:insideH w:val="nil"/>
          <w:insideV w:val="nil"/>
          <w:tl2br w:val="nil"/>
          <w:tr2bl w:val="nil"/>
        </w:tcBorders>
        <w:shd w:val="clear" w:color="auto" w:fill="0039A6"/>
        <w:vAlign w:val="bottom"/>
      </w:tcPr>
    </w:tblStylePr>
    <w:tblStylePr w:type="band2Horz">
      <w:tblPr/>
      <w:tcPr>
        <w:tcBorders>
          <w:top w:val="nil"/>
          <w:left w:val="nil"/>
          <w:bottom w:val="nil"/>
          <w:right w:val="nil"/>
          <w:insideH w:val="nil"/>
          <w:insideV w:val="nil"/>
          <w:tl2br w:val="nil"/>
          <w:tr2bl w:val="nil"/>
        </w:tcBorders>
        <w:shd w:val="clear" w:color="auto" w:fill="E6E6E6"/>
      </w:tcPr>
    </w:tblStylePr>
  </w:style>
  <w:style w:type="table" w:customStyle="1" w:styleId="TableDarkGray">
    <w:name w:val="Table Dark Gray"/>
    <w:basedOn w:val="TableNormal"/>
    <w:rsid w:val="009E232D"/>
    <w:rPr>
      <w:rFonts w:ascii="Arial" w:eastAsia="MS Mincho" w:hAnsi="Arial"/>
    </w:rPr>
    <w:tblPr>
      <w:tblBorders>
        <w:insideH w:val="single" w:sz="4" w:space="0" w:color="808080"/>
      </w:tblBorders>
    </w:tblPr>
    <w:trPr>
      <w:cantSplit/>
    </w:trPr>
    <w:tblStylePr w:type="firstRow">
      <w:pPr>
        <w:jc w:val="left"/>
      </w:pPr>
      <w:rPr>
        <w:b/>
        <w:color w:val="FFFFFF"/>
      </w:rPr>
      <w:tblPr/>
      <w:trPr>
        <w:cantSplit/>
        <w:tblHeader/>
      </w:trPr>
      <w:tcPr>
        <w:tcBorders>
          <w:top w:val="nil"/>
          <w:left w:val="nil"/>
          <w:bottom w:val="single" w:sz="8" w:space="0" w:color="808080"/>
          <w:right w:val="nil"/>
          <w:insideH w:val="nil"/>
          <w:insideV w:val="nil"/>
          <w:tl2br w:val="nil"/>
          <w:tr2bl w:val="nil"/>
        </w:tcBorders>
        <w:shd w:val="clear" w:color="auto" w:fill="4D4F53"/>
        <w:vAlign w:val="bottom"/>
      </w:tcPr>
    </w:tblStylePr>
  </w:style>
  <w:style w:type="table" w:customStyle="1" w:styleId="TableDarkGrayBanding">
    <w:name w:val="Table Dark Gray Banding"/>
    <w:basedOn w:val="TableNormal"/>
    <w:rsid w:val="009E232D"/>
    <w:rPr>
      <w:rFonts w:ascii="Arial" w:eastAsia="MS Mincho" w:hAnsi="Arial"/>
    </w:rPr>
    <w:tblPr>
      <w:tblStyleRowBandSize w:val="1"/>
      <w:tblBorders>
        <w:insideH w:val="single" w:sz="4" w:space="0" w:color="808080"/>
      </w:tblBorders>
    </w:tblPr>
    <w:trPr>
      <w:cantSplit/>
    </w:trPr>
    <w:tblStylePr w:type="firstRow">
      <w:pPr>
        <w:jc w:val="left"/>
      </w:pPr>
      <w:rPr>
        <w:b/>
        <w:color w:val="FFFFFF"/>
      </w:rPr>
      <w:tblPr/>
      <w:trPr>
        <w:cantSplit/>
        <w:tblHeader/>
      </w:trPr>
      <w:tcPr>
        <w:tcBorders>
          <w:top w:val="nil"/>
          <w:left w:val="nil"/>
          <w:bottom w:val="single" w:sz="8" w:space="0" w:color="808080"/>
          <w:right w:val="nil"/>
          <w:insideH w:val="nil"/>
          <w:insideV w:val="nil"/>
          <w:tl2br w:val="nil"/>
          <w:tr2bl w:val="nil"/>
        </w:tcBorders>
        <w:shd w:val="clear" w:color="auto" w:fill="4D4F53"/>
        <w:vAlign w:val="bottom"/>
      </w:tcPr>
    </w:tblStylePr>
    <w:tblStylePr w:type="band2Horz">
      <w:tblPr/>
      <w:tcPr>
        <w:tcBorders>
          <w:top w:val="nil"/>
          <w:left w:val="nil"/>
          <w:bottom w:val="nil"/>
          <w:right w:val="nil"/>
          <w:insideH w:val="nil"/>
          <w:insideV w:val="nil"/>
          <w:tl2br w:val="nil"/>
          <w:tr2bl w:val="nil"/>
        </w:tcBorders>
        <w:shd w:val="clear" w:color="auto" w:fill="E6E6E6"/>
      </w:tcPr>
    </w:tblStylePr>
  </w:style>
  <w:style w:type="table" w:customStyle="1" w:styleId="TableGold">
    <w:name w:val="Table Gold"/>
    <w:basedOn w:val="TableNormal"/>
    <w:rsid w:val="009E232D"/>
    <w:rPr>
      <w:rFonts w:ascii="Arial" w:eastAsia="MS Mincho" w:hAnsi="Arial"/>
      <w:color w:val="FFFFFF"/>
    </w:rPr>
    <w:tblPr>
      <w:tblStyleRowBandSize w:val="1"/>
      <w:tblBorders>
        <w:insideH w:val="single" w:sz="4" w:space="0" w:color="808080"/>
      </w:tblBorders>
    </w:tblPr>
    <w:trPr>
      <w:cantSplit/>
    </w:trPr>
    <w:tblStylePr w:type="firstRow">
      <w:pPr>
        <w:jc w:val="left"/>
      </w:pPr>
      <w:rPr>
        <w:b/>
        <w:color w:val="FFFFFF"/>
      </w:rPr>
      <w:tblPr/>
      <w:trPr>
        <w:tblHeader/>
      </w:trPr>
      <w:tcPr>
        <w:tcBorders>
          <w:top w:val="nil"/>
          <w:left w:val="nil"/>
          <w:bottom w:val="single" w:sz="8" w:space="0" w:color="808080"/>
          <w:right w:val="nil"/>
          <w:insideH w:val="nil"/>
          <w:insideV w:val="nil"/>
          <w:tl2br w:val="nil"/>
          <w:tr2bl w:val="nil"/>
        </w:tcBorders>
        <w:shd w:val="clear" w:color="auto" w:fill="F0AB00"/>
        <w:vAlign w:val="bottom"/>
      </w:tcPr>
    </w:tblStylePr>
    <w:tblStylePr w:type="lastRow">
      <w:rPr>
        <w:color w:val="auto"/>
      </w:rPr>
    </w:tblStylePr>
    <w:tblStylePr w:type="band1Horz">
      <w:rPr>
        <w:color w:val="auto"/>
      </w:rPr>
    </w:tblStylePr>
    <w:tblStylePr w:type="band2Horz">
      <w:rPr>
        <w:color w:val="auto"/>
      </w:rPr>
    </w:tblStylePr>
  </w:style>
  <w:style w:type="table" w:customStyle="1" w:styleId="TableGoldBanding">
    <w:name w:val="Table Gold Banding"/>
    <w:basedOn w:val="TableNormal"/>
    <w:rsid w:val="009E232D"/>
    <w:rPr>
      <w:rFonts w:ascii="Arial" w:eastAsia="MS Mincho" w:hAnsi="Arial"/>
    </w:rPr>
    <w:tblPr>
      <w:tblStyleRowBandSize w:val="1"/>
      <w:tblBorders>
        <w:insideH w:val="single" w:sz="4" w:space="0" w:color="808080"/>
      </w:tblBorders>
    </w:tblPr>
    <w:trPr>
      <w:cantSplit/>
    </w:trPr>
    <w:tblStylePr w:type="firstRow">
      <w:pPr>
        <w:jc w:val="left"/>
      </w:pPr>
      <w:rPr>
        <w:b/>
        <w:color w:val="FFFFFF"/>
      </w:rPr>
      <w:tblPr/>
      <w:trPr>
        <w:tblHeader/>
      </w:trPr>
      <w:tcPr>
        <w:tcBorders>
          <w:top w:val="nil"/>
          <w:left w:val="nil"/>
          <w:bottom w:val="single" w:sz="8" w:space="0" w:color="808080"/>
          <w:right w:val="nil"/>
          <w:insideH w:val="nil"/>
          <w:insideV w:val="nil"/>
          <w:tl2br w:val="nil"/>
          <w:tr2bl w:val="nil"/>
        </w:tcBorders>
        <w:shd w:val="clear" w:color="auto" w:fill="F0AB00"/>
        <w:vAlign w:val="bottom"/>
      </w:tcPr>
    </w:tblStylePr>
    <w:tblStylePr w:type="band2Horz">
      <w:tblPr/>
      <w:tcPr>
        <w:tcBorders>
          <w:top w:val="nil"/>
          <w:left w:val="nil"/>
          <w:bottom w:val="nil"/>
          <w:right w:val="nil"/>
          <w:insideH w:val="nil"/>
          <w:insideV w:val="nil"/>
          <w:tl2br w:val="nil"/>
          <w:tr2bl w:val="nil"/>
        </w:tcBorders>
        <w:shd w:val="clear" w:color="auto" w:fill="E6E6E6"/>
      </w:tcPr>
    </w:tblStylePr>
  </w:style>
  <w:style w:type="table" w:customStyle="1" w:styleId="TableGreen">
    <w:name w:val="Table Green"/>
    <w:basedOn w:val="TableNormal"/>
    <w:rsid w:val="009E232D"/>
    <w:rPr>
      <w:rFonts w:ascii="Arial" w:eastAsia="MS Mincho" w:hAnsi="Arial"/>
    </w:rPr>
    <w:tblPr>
      <w:tblBorders>
        <w:insideH w:val="single" w:sz="4" w:space="0" w:color="808080"/>
      </w:tblBorders>
    </w:tblPr>
    <w:trPr>
      <w:cantSplit/>
    </w:trPr>
    <w:tblStylePr w:type="firstRow">
      <w:pPr>
        <w:jc w:val="left"/>
      </w:pPr>
      <w:rPr>
        <w:rFonts w:ascii="Arial" w:hAnsi="Arial"/>
        <w:b/>
        <w:color w:val="FFFFFF"/>
      </w:rPr>
      <w:tblPr/>
      <w:trPr>
        <w:tblHeader/>
      </w:trPr>
      <w:tcPr>
        <w:tcBorders>
          <w:top w:val="nil"/>
          <w:left w:val="nil"/>
          <w:bottom w:val="single" w:sz="8" w:space="0" w:color="808080"/>
          <w:right w:val="nil"/>
          <w:insideH w:val="nil"/>
          <w:insideV w:val="nil"/>
          <w:tl2br w:val="nil"/>
          <w:tr2bl w:val="nil"/>
        </w:tcBorders>
        <w:shd w:val="clear" w:color="auto" w:fill="7AB800"/>
        <w:vAlign w:val="bottom"/>
      </w:tcPr>
    </w:tblStylePr>
    <w:tblStylePr w:type="lastRow">
      <w:tblPr/>
      <w:trPr>
        <w:cantSplit/>
      </w:trPr>
    </w:tblStylePr>
  </w:style>
  <w:style w:type="table" w:customStyle="1" w:styleId="TableGreenBanding">
    <w:name w:val="Table Green Banding"/>
    <w:basedOn w:val="TableNormal"/>
    <w:rsid w:val="009E232D"/>
    <w:rPr>
      <w:rFonts w:ascii="Arial" w:eastAsia="MS Mincho" w:hAnsi="Arial"/>
    </w:rPr>
    <w:tblPr>
      <w:tblStyleRowBandSize w:val="1"/>
      <w:tblBorders>
        <w:insideH w:val="single" w:sz="4" w:space="0" w:color="808080"/>
      </w:tblBorders>
    </w:tblPr>
    <w:trPr>
      <w:cantSplit/>
    </w:trPr>
    <w:tblStylePr w:type="firstRow">
      <w:pPr>
        <w:jc w:val="left"/>
      </w:pPr>
      <w:rPr>
        <w:b/>
        <w:color w:val="FFFFFF"/>
      </w:rPr>
      <w:tblPr/>
      <w:trPr>
        <w:tblHeader/>
      </w:trPr>
      <w:tcPr>
        <w:tcBorders>
          <w:top w:val="nil"/>
          <w:left w:val="nil"/>
          <w:bottom w:val="single" w:sz="8" w:space="0" w:color="808080"/>
          <w:right w:val="nil"/>
          <w:insideH w:val="nil"/>
          <w:insideV w:val="nil"/>
          <w:tl2br w:val="nil"/>
          <w:tr2bl w:val="nil"/>
        </w:tcBorders>
        <w:shd w:val="clear" w:color="auto" w:fill="7AB800"/>
        <w:vAlign w:val="bottom"/>
      </w:tcPr>
    </w:tblStylePr>
    <w:tblStylePr w:type="band2Horz">
      <w:tblPr/>
      <w:tcPr>
        <w:tcBorders>
          <w:top w:val="nil"/>
          <w:left w:val="nil"/>
          <w:bottom w:val="nil"/>
          <w:right w:val="nil"/>
          <w:insideH w:val="nil"/>
          <w:insideV w:val="nil"/>
          <w:tl2br w:val="nil"/>
          <w:tr2bl w:val="nil"/>
        </w:tcBorders>
        <w:shd w:val="clear" w:color="auto" w:fill="E6E6E6"/>
      </w:tcPr>
    </w:tblStylePr>
  </w:style>
  <w:style w:type="table" w:customStyle="1" w:styleId="TableHeadingRowBorder">
    <w:name w:val="Table Heading Row Border"/>
    <w:basedOn w:val="TableNormal"/>
    <w:rsid w:val="009E232D"/>
    <w:rPr>
      <w:rFonts w:ascii="Arial" w:eastAsia="MS Mincho" w:hAnsi="Arial"/>
    </w:rPr>
    <w:tblPr>
      <w:tblBorders>
        <w:insideH w:val="single" w:sz="4" w:space="0" w:color="808080"/>
      </w:tblBorders>
    </w:tblPr>
    <w:trPr>
      <w:cantSplit/>
    </w:trPr>
    <w:tblStylePr w:type="firstRow">
      <w:pPr>
        <w:jc w:val="left"/>
      </w:pPr>
      <w:rPr>
        <w:b/>
      </w:rPr>
      <w:tblPr/>
      <w:trPr>
        <w:cantSplit/>
        <w:tblHeader/>
      </w:trPr>
      <w:tcPr>
        <w:tcBorders>
          <w:top w:val="nil"/>
          <w:left w:val="nil"/>
          <w:bottom w:val="single" w:sz="8" w:space="0" w:color="808080"/>
          <w:right w:val="nil"/>
          <w:insideH w:val="nil"/>
          <w:insideV w:val="nil"/>
          <w:tl2br w:val="nil"/>
          <w:tr2bl w:val="nil"/>
        </w:tcBorders>
        <w:vAlign w:val="bottom"/>
      </w:tcPr>
    </w:tblStylePr>
    <w:tblStylePr w:type="lastRow">
      <w:tblPr/>
      <w:trPr>
        <w:cantSplit/>
      </w:trPr>
    </w:tblStylePr>
  </w:style>
  <w:style w:type="table" w:customStyle="1" w:styleId="TableLightBlue">
    <w:name w:val="Table Light Blue"/>
    <w:basedOn w:val="TableNormal"/>
    <w:rsid w:val="009E232D"/>
    <w:rPr>
      <w:rFonts w:ascii="Arial" w:eastAsia="MS Mincho" w:hAnsi="Arial"/>
    </w:rPr>
    <w:tblPr>
      <w:tblStyleRowBandSize w:val="1"/>
      <w:tblBorders>
        <w:insideH w:val="single" w:sz="4" w:space="0" w:color="808080"/>
      </w:tblBorders>
    </w:tblPr>
    <w:tblStylePr w:type="firstRow">
      <w:pPr>
        <w:jc w:val="left"/>
      </w:pPr>
      <w:rPr>
        <w:b/>
        <w:color w:val="FFFFFF"/>
      </w:rPr>
      <w:tblPr/>
      <w:trPr>
        <w:cantSplit/>
        <w:tblHeader/>
      </w:trPr>
      <w:tcPr>
        <w:tcBorders>
          <w:top w:val="nil"/>
          <w:left w:val="nil"/>
          <w:bottom w:val="single" w:sz="8" w:space="0" w:color="808080"/>
          <w:right w:val="nil"/>
          <w:insideH w:val="nil"/>
          <w:insideV w:val="nil"/>
          <w:tl2br w:val="nil"/>
          <w:tr2bl w:val="nil"/>
        </w:tcBorders>
        <w:shd w:val="clear" w:color="auto" w:fill="5EB6E4"/>
        <w:vAlign w:val="bottom"/>
      </w:tcPr>
    </w:tblStylePr>
    <w:tblStylePr w:type="lastRow">
      <w:tblPr/>
      <w:trPr>
        <w:cantSplit/>
      </w:trPr>
    </w:tblStylePr>
    <w:tblStylePr w:type="band2Horz">
      <w:tblPr/>
      <w:trPr>
        <w:cantSplit/>
      </w:trPr>
    </w:tblStylePr>
  </w:style>
  <w:style w:type="table" w:customStyle="1" w:styleId="TableLightBlueBanding">
    <w:name w:val="Table Light Blue Banding"/>
    <w:basedOn w:val="TableNormal"/>
    <w:rsid w:val="009E232D"/>
    <w:rPr>
      <w:rFonts w:ascii="Arial" w:eastAsia="MS Mincho" w:hAnsi="Arial"/>
    </w:rPr>
    <w:tblPr>
      <w:tblStyleRowBandSize w:val="1"/>
      <w:tblBorders>
        <w:insideH w:val="single" w:sz="4" w:space="0" w:color="808080"/>
      </w:tblBorders>
    </w:tblPr>
    <w:trPr>
      <w:cantSplit/>
    </w:trPr>
    <w:tblStylePr w:type="firstRow">
      <w:pPr>
        <w:jc w:val="left"/>
      </w:pPr>
      <w:rPr>
        <w:b/>
        <w:color w:val="FFFFFF"/>
      </w:rPr>
      <w:tblPr/>
      <w:trPr>
        <w:cantSplit/>
        <w:tblHeader/>
      </w:trPr>
      <w:tcPr>
        <w:tcBorders>
          <w:top w:val="nil"/>
          <w:left w:val="nil"/>
          <w:bottom w:val="single" w:sz="8" w:space="0" w:color="808080"/>
          <w:right w:val="nil"/>
          <w:insideH w:val="nil"/>
          <w:insideV w:val="nil"/>
          <w:tl2br w:val="nil"/>
          <w:tr2bl w:val="nil"/>
        </w:tcBorders>
        <w:shd w:val="clear" w:color="auto" w:fill="5EB6E4"/>
        <w:vAlign w:val="bottom"/>
      </w:tcPr>
    </w:tblStylePr>
    <w:tblStylePr w:type="band2Horz">
      <w:tblPr/>
      <w:tcPr>
        <w:tcBorders>
          <w:top w:val="nil"/>
          <w:left w:val="nil"/>
          <w:bottom w:val="nil"/>
          <w:right w:val="nil"/>
          <w:insideH w:val="nil"/>
          <w:insideV w:val="nil"/>
          <w:tl2br w:val="nil"/>
          <w:tr2bl w:val="nil"/>
        </w:tcBorders>
        <w:shd w:val="clear" w:color="auto" w:fill="E6E6E6"/>
      </w:tcPr>
    </w:tblStylePr>
  </w:style>
  <w:style w:type="table" w:customStyle="1" w:styleId="TableLightGray">
    <w:name w:val="Table Light Gray"/>
    <w:basedOn w:val="TableNormal"/>
    <w:rsid w:val="009E232D"/>
    <w:rPr>
      <w:rFonts w:ascii="Arial" w:eastAsia="MS Mincho" w:hAnsi="Arial"/>
    </w:rPr>
    <w:tblPr>
      <w:tblBorders>
        <w:insideH w:val="single" w:sz="4" w:space="0" w:color="808080"/>
      </w:tblBorders>
    </w:tblPr>
    <w:trPr>
      <w:cantSplit/>
    </w:trPr>
    <w:tblStylePr w:type="firstRow">
      <w:pPr>
        <w:jc w:val="left"/>
      </w:pPr>
      <w:rPr>
        <w:b/>
      </w:rPr>
      <w:tblPr/>
      <w:trPr>
        <w:tblHeader/>
      </w:trPr>
      <w:tcPr>
        <w:tcBorders>
          <w:top w:val="nil"/>
          <w:left w:val="nil"/>
          <w:bottom w:val="single" w:sz="8" w:space="0" w:color="808080"/>
          <w:right w:val="nil"/>
          <w:insideH w:val="nil"/>
          <w:insideV w:val="nil"/>
          <w:tl2br w:val="nil"/>
          <w:tr2bl w:val="nil"/>
        </w:tcBorders>
        <w:shd w:val="clear" w:color="auto" w:fill="C9CAC8"/>
        <w:vAlign w:val="bottom"/>
      </w:tcPr>
    </w:tblStylePr>
  </w:style>
  <w:style w:type="table" w:customStyle="1" w:styleId="TableLightGrayBanding">
    <w:name w:val="Table Light Gray Banding"/>
    <w:basedOn w:val="TableNormal"/>
    <w:rsid w:val="009E232D"/>
    <w:rPr>
      <w:rFonts w:ascii="Arial" w:eastAsia="MS Mincho" w:hAnsi="Arial"/>
    </w:rPr>
    <w:tblPr>
      <w:tblStyleRowBandSize w:val="1"/>
      <w:tblBorders>
        <w:insideH w:val="single" w:sz="4" w:space="0" w:color="808080"/>
      </w:tblBorders>
    </w:tblPr>
    <w:trPr>
      <w:cantSplit/>
    </w:trPr>
    <w:tblStylePr w:type="firstRow">
      <w:pPr>
        <w:jc w:val="left"/>
      </w:pPr>
      <w:rPr>
        <w:b/>
      </w:rPr>
      <w:tblPr/>
      <w:trPr>
        <w:tblHeader/>
      </w:trPr>
      <w:tcPr>
        <w:tcBorders>
          <w:top w:val="nil"/>
          <w:left w:val="nil"/>
          <w:bottom w:val="single" w:sz="8" w:space="0" w:color="808080"/>
          <w:right w:val="nil"/>
          <w:insideH w:val="nil"/>
          <w:insideV w:val="nil"/>
          <w:tl2br w:val="nil"/>
          <w:tr2bl w:val="nil"/>
        </w:tcBorders>
        <w:shd w:val="clear" w:color="auto" w:fill="C9CAC8"/>
        <w:vAlign w:val="bottom"/>
      </w:tcPr>
    </w:tblStylePr>
    <w:tblStylePr w:type="band2Horz">
      <w:tblPr/>
      <w:tcPr>
        <w:tcBorders>
          <w:top w:val="nil"/>
          <w:left w:val="nil"/>
          <w:bottom w:val="nil"/>
          <w:right w:val="nil"/>
          <w:insideH w:val="nil"/>
          <w:insideV w:val="nil"/>
          <w:tl2br w:val="nil"/>
          <w:tr2bl w:val="nil"/>
        </w:tcBorders>
        <w:shd w:val="clear" w:color="auto" w:fill="E6E6E6"/>
      </w:tcPr>
    </w:tblStylePr>
  </w:style>
  <w:style w:type="table" w:customStyle="1" w:styleId="TableMaroon">
    <w:name w:val="Table Maroon"/>
    <w:basedOn w:val="TableNormal"/>
    <w:rsid w:val="009E232D"/>
    <w:rPr>
      <w:rFonts w:ascii="Arial" w:eastAsia="MS Mincho" w:hAnsi="Arial"/>
    </w:rPr>
    <w:tblPr>
      <w:tblBorders>
        <w:insideH w:val="single" w:sz="4" w:space="0" w:color="808080"/>
      </w:tblBorders>
    </w:tblPr>
    <w:trPr>
      <w:cantSplit/>
    </w:trPr>
    <w:tblStylePr w:type="firstRow">
      <w:pPr>
        <w:jc w:val="left"/>
      </w:pPr>
      <w:rPr>
        <w:b/>
        <w:color w:val="FFFFFF"/>
      </w:rPr>
      <w:tblPr/>
      <w:trPr>
        <w:cantSplit/>
        <w:tblHeader/>
      </w:trPr>
      <w:tcPr>
        <w:tcBorders>
          <w:top w:val="nil"/>
          <w:left w:val="nil"/>
          <w:bottom w:val="single" w:sz="8" w:space="0" w:color="808080"/>
          <w:right w:val="nil"/>
          <w:insideH w:val="nil"/>
          <w:insideV w:val="nil"/>
          <w:tl2br w:val="nil"/>
          <w:tr2bl w:val="nil"/>
        </w:tcBorders>
        <w:shd w:val="clear" w:color="auto" w:fill="822433"/>
        <w:vAlign w:val="bottom"/>
      </w:tcPr>
    </w:tblStylePr>
    <w:tblStylePr w:type="lastRow">
      <w:tblPr/>
      <w:trPr>
        <w:cantSplit/>
      </w:trPr>
    </w:tblStylePr>
  </w:style>
  <w:style w:type="table" w:customStyle="1" w:styleId="TableMaroonBanding">
    <w:name w:val="Table Maroon Banding"/>
    <w:basedOn w:val="TableNormal"/>
    <w:rsid w:val="009E232D"/>
    <w:rPr>
      <w:rFonts w:ascii="Arial" w:eastAsia="MS Mincho" w:hAnsi="Arial"/>
    </w:rPr>
    <w:tblPr>
      <w:tblStyleRowBandSize w:val="1"/>
      <w:tblBorders>
        <w:insideH w:val="single" w:sz="4" w:space="0" w:color="808080"/>
      </w:tblBorders>
    </w:tblPr>
    <w:trPr>
      <w:cantSplit/>
    </w:trPr>
    <w:tblStylePr w:type="firstRow">
      <w:pPr>
        <w:jc w:val="left"/>
      </w:pPr>
      <w:rPr>
        <w:b/>
        <w:color w:val="FFFFFF"/>
      </w:rPr>
      <w:tblPr/>
      <w:trPr>
        <w:tblHeader/>
      </w:trPr>
      <w:tcPr>
        <w:tcBorders>
          <w:top w:val="nil"/>
          <w:left w:val="nil"/>
          <w:bottom w:val="single" w:sz="8" w:space="0" w:color="808080"/>
          <w:right w:val="nil"/>
          <w:insideH w:val="nil"/>
          <w:insideV w:val="nil"/>
          <w:tl2br w:val="nil"/>
          <w:tr2bl w:val="nil"/>
        </w:tcBorders>
        <w:shd w:val="clear" w:color="auto" w:fill="822433"/>
        <w:vAlign w:val="bottom"/>
      </w:tcPr>
    </w:tblStylePr>
    <w:tblStylePr w:type="band2Horz">
      <w:tblPr/>
      <w:tcPr>
        <w:tcBorders>
          <w:top w:val="nil"/>
          <w:left w:val="nil"/>
          <w:bottom w:val="nil"/>
          <w:right w:val="nil"/>
          <w:insideH w:val="nil"/>
          <w:insideV w:val="nil"/>
          <w:tl2br w:val="nil"/>
          <w:tr2bl w:val="nil"/>
        </w:tcBorders>
        <w:shd w:val="clear" w:color="auto" w:fill="E6E6E6"/>
      </w:tcPr>
    </w:tblStylePr>
  </w:style>
  <w:style w:type="table" w:customStyle="1" w:styleId="TablePurple">
    <w:name w:val="Table Purple"/>
    <w:basedOn w:val="TableNormal"/>
    <w:rsid w:val="009E232D"/>
    <w:rPr>
      <w:rFonts w:ascii="Arial" w:eastAsia="MS Mincho" w:hAnsi="Arial"/>
    </w:rPr>
    <w:tblPr>
      <w:tblStyleRowBandSize w:val="1"/>
      <w:tblBorders>
        <w:insideH w:val="single" w:sz="4" w:space="0" w:color="808080"/>
      </w:tblBorders>
    </w:tblPr>
    <w:trPr>
      <w:cantSplit/>
    </w:trPr>
    <w:tblStylePr w:type="firstRow">
      <w:pPr>
        <w:jc w:val="left"/>
      </w:pPr>
      <w:rPr>
        <w:b/>
        <w:color w:val="FFFFFF"/>
      </w:rPr>
      <w:tblPr/>
      <w:trPr>
        <w:tblHeader/>
      </w:trPr>
      <w:tcPr>
        <w:tcBorders>
          <w:top w:val="nil"/>
          <w:left w:val="nil"/>
          <w:bottom w:val="single" w:sz="8" w:space="0" w:color="808080"/>
          <w:right w:val="nil"/>
          <w:insideH w:val="nil"/>
          <w:insideV w:val="nil"/>
          <w:tl2br w:val="nil"/>
          <w:tr2bl w:val="nil"/>
        </w:tcBorders>
        <w:shd w:val="clear" w:color="auto" w:fill="6E267B"/>
        <w:vAlign w:val="bottom"/>
      </w:tcPr>
    </w:tblStylePr>
    <w:tblStylePr w:type="lastRow">
      <w:tblPr/>
      <w:trPr>
        <w:cantSplit/>
      </w:trPr>
    </w:tblStylePr>
    <w:tblStylePr w:type="band1Horz">
      <w:tblPr/>
      <w:trPr>
        <w:cantSplit/>
      </w:trPr>
    </w:tblStylePr>
  </w:style>
  <w:style w:type="table" w:customStyle="1" w:styleId="TablePurpleBanding">
    <w:name w:val="Table Purple Banding"/>
    <w:basedOn w:val="TableNormal"/>
    <w:rsid w:val="009E232D"/>
    <w:rPr>
      <w:rFonts w:ascii="Arial" w:eastAsia="MS Mincho" w:hAnsi="Arial"/>
    </w:rPr>
    <w:tblPr>
      <w:tblStyleRowBandSize w:val="1"/>
      <w:tblBorders>
        <w:insideH w:val="single" w:sz="4" w:space="0" w:color="808080"/>
      </w:tblBorders>
    </w:tblPr>
    <w:trPr>
      <w:cantSplit/>
    </w:trPr>
    <w:tblStylePr w:type="firstRow">
      <w:pPr>
        <w:jc w:val="left"/>
      </w:pPr>
      <w:rPr>
        <w:rFonts w:ascii="Arial" w:hAnsi="Arial"/>
        <w:b/>
        <w:color w:val="FFFFFF"/>
      </w:rPr>
      <w:tblPr/>
      <w:trPr>
        <w:tblHeader/>
      </w:trPr>
      <w:tcPr>
        <w:tcBorders>
          <w:top w:val="nil"/>
          <w:left w:val="nil"/>
          <w:bottom w:val="single" w:sz="8" w:space="0" w:color="808080"/>
          <w:right w:val="nil"/>
          <w:insideH w:val="nil"/>
          <w:insideV w:val="nil"/>
          <w:tl2br w:val="nil"/>
          <w:tr2bl w:val="nil"/>
        </w:tcBorders>
        <w:shd w:val="clear" w:color="auto" w:fill="6E267B"/>
        <w:vAlign w:val="bottom"/>
      </w:tcPr>
    </w:tblStylePr>
    <w:tblStylePr w:type="band2Horz">
      <w:tblPr/>
      <w:tcPr>
        <w:tcBorders>
          <w:top w:val="nil"/>
          <w:left w:val="nil"/>
          <w:bottom w:val="nil"/>
          <w:right w:val="nil"/>
          <w:insideH w:val="nil"/>
          <w:insideV w:val="nil"/>
          <w:tl2br w:val="nil"/>
          <w:tr2bl w:val="nil"/>
        </w:tcBorders>
        <w:shd w:val="clear" w:color="auto" w:fill="E6E6E6"/>
      </w:tcPr>
    </w:tblStylePr>
  </w:style>
  <w:style w:type="table" w:customStyle="1" w:styleId="TableRowBandingBorders">
    <w:name w:val="Table Row Banding Borders"/>
    <w:basedOn w:val="TableNormal"/>
    <w:rsid w:val="009E232D"/>
    <w:rPr>
      <w:rFonts w:ascii="Arial" w:eastAsia="MS Mincho" w:hAnsi="Arial"/>
    </w:rPr>
    <w:tblPr>
      <w:tblStyleRowBandSize w:val="1"/>
      <w:tblBorders>
        <w:insideH w:val="single" w:sz="4" w:space="0" w:color="808080"/>
      </w:tblBorders>
    </w:tblPr>
    <w:trPr>
      <w:cantSplit/>
    </w:trPr>
    <w:tblStylePr w:type="firstRow">
      <w:pPr>
        <w:jc w:val="left"/>
      </w:pPr>
      <w:rPr>
        <w:b/>
      </w:rPr>
      <w:tblPr/>
      <w:trPr>
        <w:tblHeader/>
      </w:trPr>
      <w:tcPr>
        <w:tcBorders>
          <w:top w:val="nil"/>
          <w:left w:val="nil"/>
          <w:bottom w:val="single" w:sz="8" w:space="0" w:color="808080"/>
          <w:right w:val="nil"/>
          <w:insideH w:val="nil"/>
          <w:insideV w:val="nil"/>
          <w:tl2br w:val="nil"/>
          <w:tr2bl w:val="nil"/>
        </w:tcBorders>
        <w:vAlign w:val="bottom"/>
      </w:tcPr>
    </w:tblStylePr>
    <w:tblStylePr w:type="band1Horz">
      <w:tblPr/>
      <w:tcPr>
        <w:tcBorders>
          <w:top w:val="nil"/>
          <w:left w:val="nil"/>
          <w:bottom w:val="nil"/>
          <w:right w:val="nil"/>
          <w:insideH w:val="nil"/>
          <w:insideV w:val="nil"/>
          <w:tl2br w:val="nil"/>
          <w:tr2bl w:val="nil"/>
        </w:tcBorders>
        <w:shd w:val="clear" w:color="auto" w:fill="E6E6E6"/>
      </w:tcPr>
    </w:tblStylePr>
    <w:tblStylePr w:type="band2Horz">
      <w:tblPr/>
      <w:tcPr>
        <w:tcBorders>
          <w:top w:val="nil"/>
          <w:left w:val="nil"/>
          <w:bottom w:val="nil"/>
          <w:right w:val="nil"/>
          <w:insideH w:val="nil"/>
          <w:insideV w:val="nil"/>
          <w:tl2br w:val="nil"/>
          <w:tr2bl w:val="nil"/>
        </w:tcBorders>
      </w:tcPr>
    </w:tblStylePr>
  </w:style>
  <w:style w:type="table" w:customStyle="1" w:styleId="TableRowNoBandingBorders">
    <w:name w:val="Table Row No Banding Borders"/>
    <w:basedOn w:val="TableRowBandingBorders"/>
    <w:rsid w:val="009E232D"/>
    <w:tblPr/>
    <w:tblStylePr w:type="firstRow">
      <w:pPr>
        <w:jc w:val="left"/>
      </w:pPr>
      <w:rPr>
        <w:b/>
      </w:rPr>
      <w:tblPr/>
      <w:trPr>
        <w:cantSplit/>
        <w:tblHeader/>
      </w:trPr>
      <w:tcPr>
        <w:tcBorders>
          <w:top w:val="nil"/>
          <w:left w:val="nil"/>
          <w:bottom w:val="single" w:sz="8" w:space="0" w:color="808080"/>
          <w:right w:val="nil"/>
          <w:insideH w:val="nil"/>
          <w:insideV w:val="nil"/>
          <w:tl2br w:val="nil"/>
          <w:tr2bl w:val="nil"/>
        </w:tcBorders>
        <w:vAlign w:val="bottom"/>
      </w:tcPr>
    </w:tblStylePr>
    <w:tblStylePr w:type="band1Horz">
      <w:tblPr/>
      <w:tcPr>
        <w:tcBorders>
          <w:top w:val="nil"/>
          <w:left w:val="nil"/>
          <w:bottom w:val="nil"/>
          <w:right w:val="nil"/>
          <w:insideH w:val="nil"/>
          <w:insideV w:val="nil"/>
          <w:tl2br w:val="nil"/>
          <w:tr2bl w:val="nil"/>
        </w:tcBorders>
        <w:shd w:val="clear" w:color="auto" w:fill="E6E6E6"/>
      </w:tcPr>
    </w:tblStylePr>
    <w:tblStylePr w:type="band2Horz">
      <w:tblPr/>
      <w:tcPr>
        <w:tcBorders>
          <w:top w:val="nil"/>
          <w:left w:val="nil"/>
          <w:bottom w:val="nil"/>
          <w:right w:val="nil"/>
          <w:insideH w:val="nil"/>
          <w:insideV w:val="nil"/>
          <w:tl2br w:val="nil"/>
          <w:tr2bl w:val="nil"/>
        </w:tcBorders>
      </w:tcPr>
    </w:tblStylePr>
  </w:style>
  <w:style w:type="table" w:customStyle="1" w:styleId="TableYellow">
    <w:name w:val="Table Yellow"/>
    <w:basedOn w:val="TableNormal"/>
    <w:rsid w:val="009E232D"/>
    <w:rPr>
      <w:rFonts w:ascii="Arial" w:eastAsia="MS Mincho" w:hAnsi="Arial"/>
    </w:rPr>
    <w:tblPr/>
    <w:trPr>
      <w:cantSplit/>
    </w:trPr>
    <w:tblStylePr w:type="firstRow">
      <w:rPr>
        <w:rFonts w:ascii="Arial" w:hAnsi="Arial"/>
        <w:b/>
      </w:rPr>
      <w:tblPr/>
      <w:trPr>
        <w:tblHeader/>
      </w:trPr>
      <w:tcPr>
        <w:shd w:val="clear" w:color="auto" w:fill="FFE600"/>
      </w:tcPr>
    </w:tblStylePr>
  </w:style>
  <w:style w:type="table" w:customStyle="1" w:styleId="TableYellowBanding">
    <w:name w:val="Table Yellow Banding"/>
    <w:basedOn w:val="TableNormal"/>
    <w:rsid w:val="009E232D"/>
    <w:rPr>
      <w:rFonts w:ascii="Arial" w:eastAsia="MS Mincho" w:hAnsi="Arial"/>
    </w:rPr>
    <w:tblPr>
      <w:tblStyleRowBandSize w:val="1"/>
      <w:tblBorders>
        <w:insideH w:val="single" w:sz="4" w:space="0" w:color="808080"/>
      </w:tblBorders>
    </w:tblPr>
    <w:trPr>
      <w:cantSplit/>
    </w:trPr>
    <w:tblStylePr w:type="firstRow">
      <w:pPr>
        <w:jc w:val="left"/>
      </w:pPr>
      <w:rPr>
        <w:b/>
      </w:rPr>
      <w:tblPr/>
      <w:trPr>
        <w:tblHeader/>
      </w:trPr>
      <w:tcPr>
        <w:tcBorders>
          <w:top w:val="nil"/>
          <w:left w:val="nil"/>
          <w:bottom w:val="single" w:sz="8" w:space="0" w:color="808080"/>
          <w:right w:val="nil"/>
          <w:insideH w:val="nil"/>
          <w:insideV w:val="nil"/>
          <w:tl2br w:val="nil"/>
          <w:tr2bl w:val="nil"/>
        </w:tcBorders>
        <w:shd w:val="clear" w:color="auto" w:fill="FFE600"/>
        <w:vAlign w:val="bottom"/>
      </w:tcPr>
    </w:tblStylePr>
    <w:tblStylePr w:type="band2Horz">
      <w:tblPr/>
      <w:tcPr>
        <w:tcBorders>
          <w:top w:val="nil"/>
          <w:left w:val="nil"/>
          <w:bottom w:val="nil"/>
          <w:right w:val="nil"/>
          <w:insideH w:val="nil"/>
          <w:insideV w:val="nil"/>
          <w:tl2br w:val="nil"/>
          <w:tr2bl w:val="nil"/>
        </w:tcBorders>
        <w:shd w:val="clear" w:color="auto" w:fill="E6E6E6"/>
      </w:tcPr>
    </w:tblStylePr>
  </w:style>
  <w:style w:type="paragraph" w:customStyle="1" w:styleId="TableColumn1">
    <w:name w:val="TableColumn1"/>
    <w:basedOn w:val="Normal"/>
    <w:rsid w:val="009E232D"/>
    <w:pPr>
      <w:spacing w:before="40" w:line="200" w:lineRule="atLeast"/>
    </w:pPr>
    <w:rPr>
      <w:rFonts w:cs="Arial"/>
      <w:b/>
    </w:rPr>
  </w:style>
  <w:style w:type="paragraph" w:customStyle="1" w:styleId="TableRowHeader">
    <w:name w:val="TableRowHeader"/>
    <w:basedOn w:val="Normal"/>
    <w:rsid w:val="009E232D"/>
    <w:pPr>
      <w:spacing w:after="60"/>
      <w:jc w:val="right"/>
    </w:pPr>
    <w:rPr>
      <w:rFonts w:eastAsia="Times" w:cs="Arial"/>
      <w:b/>
    </w:rPr>
  </w:style>
  <w:style w:type="character" w:styleId="UnresolvedMention">
    <w:name w:val="Unresolved Mention"/>
    <w:basedOn w:val="DefaultParagraphFont"/>
    <w:uiPriority w:val="99"/>
    <w:semiHidden/>
    <w:unhideWhenUsed/>
    <w:rsid w:val="00C12E3C"/>
    <w:rPr>
      <w:color w:val="808080"/>
      <w:shd w:val="clear" w:color="auto" w:fill="E6E6E6"/>
    </w:rPr>
  </w:style>
  <w:style w:type="paragraph" w:styleId="Revision">
    <w:name w:val="Revision"/>
    <w:hidden/>
    <w:uiPriority w:val="99"/>
    <w:semiHidden/>
    <w:rsid w:val="008E6F8F"/>
    <w:rPr>
      <w:rFonts w:ascii="Arial" w:eastAsia="MS Mincho" w:hAnsi="Arial"/>
    </w:rPr>
  </w:style>
  <w:style w:type="character" w:customStyle="1" w:styleId="CommentTextChar">
    <w:name w:val="Comment Text Char"/>
    <w:basedOn w:val="DefaultParagraphFont"/>
    <w:link w:val="CommentText"/>
    <w:uiPriority w:val="99"/>
    <w:rsid w:val="009671C2"/>
    <w:rPr>
      <w:rFonts w:ascii="Arial" w:eastAsia="MS Mincho" w:hAnsi="Arial"/>
    </w:rPr>
  </w:style>
  <w:style w:type="character" w:customStyle="1" w:styleId="Heading4Char">
    <w:name w:val="Heading 4 Char"/>
    <w:basedOn w:val="DefaultParagraphFont"/>
    <w:link w:val="Heading4"/>
    <w:rsid w:val="005D3395"/>
    <w:rPr>
      <w:rFonts w:ascii="Arial" w:eastAsia="MS Mincho" w:hAnsi="Arial"/>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89994">
      <w:bodyDiv w:val="1"/>
      <w:marLeft w:val="0"/>
      <w:marRight w:val="0"/>
      <w:marTop w:val="0"/>
      <w:marBottom w:val="0"/>
      <w:divBdr>
        <w:top w:val="none" w:sz="0" w:space="0" w:color="auto"/>
        <w:left w:val="none" w:sz="0" w:space="0" w:color="auto"/>
        <w:bottom w:val="none" w:sz="0" w:space="0" w:color="auto"/>
        <w:right w:val="none" w:sz="0" w:space="0" w:color="auto"/>
      </w:divBdr>
    </w:div>
    <w:div w:id="100489483">
      <w:bodyDiv w:val="1"/>
      <w:marLeft w:val="0"/>
      <w:marRight w:val="0"/>
      <w:marTop w:val="0"/>
      <w:marBottom w:val="0"/>
      <w:divBdr>
        <w:top w:val="none" w:sz="0" w:space="0" w:color="auto"/>
        <w:left w:val="none" w:sz="0" w:space="0" w:color="auto"/>
        <w:bottom w:val="none" w:sz="0" w:space="0" w:color="auto"/>
        <w:right w:val="none" w:sz="0" w:space="0" w:color="auto"/>
      </w:divBdr>
    </w:div>
    <w:div w:id="245462824">
      <w:bodyDiv w:val="1"/>
      <w:marLeft w:val="0"/>
      <w:marRight w:val="0"/>
      <w:marTop w:val="0"/>
      <w:marBottom w:val="0"/>
      <w:divBdr>
        <w:top w:val="none" w:sz="0" w:space="0" w:color="auto"/>
        <w:left w:val="none" w:sz="0" w:space="0" w:color="auto"/>
        <w:bottom w:val="none" w:sz="0" w:space="0" w:color="auto"/>
        <w:right w:val="none" w:sz="0" w:space="0" w:color="auto"/>
      </w:divBdr>
    </w:div>
    <w:div w:id="310254097">
      <w:bodyDiv w:val="1"/>
      <w:marLeft w:val="0"/>
      <w:marRight w:val="0"/>
      <w:marTop w:val="0"/>
      <w:marBottom w:val="0"/>
      <w:divBdr>
        <w:top w:val="none" w:sz="0" w:space="0" w:color="auto"/>
        <w:left w:val="none" w:sz="0" w:space="0" w:color="auto"/>
        <w:bottom w:val="none" w:sz="0" w:space="0" w:color="auto"/>
        <w:right w:val="none" w:sz="0" w:space="0" w:color="auto"/>
      </w:divBdr>
    </w:div>
    <w:div w:id="327944203">
      <w:bodyDiv w:val="1"/>
      <w:marLeft w:val="0"/>
      <w:marRight w:val="0"/>
      <w:marTop w:val="0"/>
      <w:marBottom w:val="0"/>
      <w:divBdr>
        <w:top w:val="none" w:sz="0" w:space="0" w:color="auto"/>
        <w:left w:val="none" w:sz="0" w:space="0" w:color="auto"/>
        <w:bottom w:val="none" w:sz="0" w:space="0" w:color="auto"/>
        <w:right w:val="none" w:sz="0" w:space="0" w:color="auto"/>
      </w:divBdr>
    </w:div>
    <w:div w:id="339623015">
      <w:bodyDiv w:val="1"/>
      <w:marLeft w:val="0"/>
      <w:marRight w:val="0"/>
      <w:marTop w:val="0"/>
      <w:marBottom w:val="0"/>
      <w:divBdr>
        <w:top w:val="none" w:sz="0" w:space="0" w:color="auto"/>
        <w:left w:val="none" w:sz="0" w:space="0" w:color="auto"/>
        <w:bottom w:val="none" w:sz="0" w:space="0" w:color="auto"/>
        <w:right w:val="none" w:sz="0" w:space="0" w:color="auto"/>
      </w:divBdr>
    </w:div>
    <w:div w:id="364910469">
      <w:bodyDiv w:val="1"/>
      <w:marLeft w:val="0"/>
      <w:marRight w:val="0"/>
      <w:marTop w:val="0"/>
      <w:marBottom w:val="0"/>
      <w:divBdr>
        <w:top w:val="none" w:sz="0" w:space="0" w:color="auto"/>
        <w:left w:val="none" w:sz="0" w:space="0" w:color="auto"/>
        <w:bottom w:val="none" w:sz="0" w:space="0" w:color="auto"/>
        <w:right w:val="none" w:sz="0" w:space="0" w:color="auto"/>
      </w:divBdr>
    </w:div>
    <w:div w:id="377975961">
      <w:bodyDiv w:val="1"/>
      <w:marLeft w:val="0"/>
      <w:marRight w:val="0"/>
      <w:marTop w:val="0"/>
      <w:marBottom w:val="0"/>
      <w:divBdr>
        <w:top w:val="none" w:sz="0" w:space="0" w:color="auto"/>
        <w:left w:val="none" w:sz="0" w:space="0" w:color="auto"/>
        <w:bottom w:val="none" w:sz="0" w:space="0" w:color="auto"/>
        <w:right w:val="none" w:sz="0" w:space="0" w:color="auto"/>
      </w:divBdr>
    </w:div>
    <w:div w:id="380175686">
      <w:bodyDiv w:val="1"/>
      <w:marLeft w:val="0"/>
      <w:marRight w:val="0"/>
      <w:marTop w:val="0"/>
      <w:marBottom w:val="0"/>
      <w:divBdr>
        <w:top w:val="none" w:sz="0" w:space="0" w:color="auto"/>
        <w:left w:val="none" w:sz="0" w:space="0" w:color="auto"/>
        <w:bottom w:val="none" w:sz="0" w:space="0" w:color="auto"/>
        <w:right w:val="none" w:sz="0" w:space="0" w:color="auto"/>
      </w:divBdr>
    </w:div>
    <w:div w:id="434522315">
      <w:bodyDiv w:val="1"/>
      <w:marLeft w:val="0"/>
      <w:marRight w:val="0"/>
      <w:marTop w:val="0"/>
      <w:marBottom w:val="0"/>
      <w:divBdr>
        <w:top w:val="none" w:sz="0" w:space="0" w:color="auto"/>
        <w:left w:val="none" w:sz="0" w:space="0" w:color="auto"/>
        <w:bottom w:val="none" w:sz="0" w:space="0" w:color="auto"/>
        <w:right w:val="none" w:sz="0" w:space="0" w:color="auto"/>
      </w:divBdr>
    </w:div>
    <w:div w:id="438254491">
      <w:bodyDiv w:val="1"/>
      <w:marLeft w:val="30"/>
      <w:marRight w:val="30"/>
      <w:marTop w:val="0"/>
      <w:marBottom w:val="0"/>
      <w:divBdr>
        <w:top w:val="none" w:sz="0" w:space="0" w:color="auto"/>
        <w:left w:val="none" w:sz="0" w:space="0" w:color="auto"/>
        <w:bottom w:val="none" w:sz="0" w:space="0" w:color="auto"/>
        <w:right w:val="none" w:sz="0" w:space="0" w:color="auto"/>
      </w:divBdr>
      <w:divsChild>
        <w:div w:id="21390310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3692373">
      <w:bodyDiv w:val="1"/>
      <w:marLeft w:val="0"/>
      <w:marRight w:val="0"/>
      <w:marTop w:val="0"/>
      <w:marBottom w:val="0"/>
      <w:divBdr>
        <w:top w:val="none" w:sz="0" w:space="0" w:color="auto"/>
        <w:left w:val="none" w:sz="0" w:space="0" w:color="auto"/>
        <w:bottom w:val="none" w:sz="0" w:space="0" w:color="auto"/>
        <w:right w:val="none" w:sz="0" w:space="0" w:color="auto"/>
      </w:divBdr>
    </w:div>
    <w:div w:id="546181516">
      <w:bodyDiv w:val="1"/>
      <w:marLeft w:val="0"/>
      <w:marRight w:val="0"/>
      <w:marTop w:val="0"/>
      <w:marBottom w:val="0"/>
      <w:divBdr>
        <w:top w:val="none" w:sz="0" w:space="0" w:color="auto"/>
        <w:left w:val="none" w:sz="0" w:space="0" w:color="auto"/>
        <w:bottom w:val="none" w:sz="0" w:space="0" w:color="auto"/>
        <w:right w:val="none" w:sz="0" w:space="0" w:color="auto"/>
      </w:divBdr>
    </w:div>
    <w:div w:id="731585554">
      <w:bodyDiv w:val="1"/>
      <w:marLeft w:val="0"/>
      <w:marRight w:val="0"/>
      <w:marTop w:val="0"/>
      <w:marBottom w:val="0"/>
      <w:divBdr>
        <w:top w:val="none" w:sz="0" w:space="0" w:color="auto"/>
        <w:left w:val="none" w:sz="0" w:space="0" w:color="auto"/>
        <w:bottom w:val="none" w:sz="0" w:space="0" w:color="auto"/>
        <w:right w:val="none" w:sz="0" w:space="0" w:color="auto"/>
      </w:divBdr>
    </w:div>
    <w:div w:id="782847452">
      <w:bodyDiv w:val="1"/>
      <w:marLeft w:val="0"/>
      <w:marRight w:val="0"/>
      <w:marTop w:val="0"/>
      <w:marBottom w:val="0"/>
      <w:divBdr>
        <w:top w:val="none" w:sz="0" w:space="0" w:color="auto"/>
        <w:left w:val="none" w:sz="0" w:space="0" w:color="auto"/>
        <w:bottom w:val="none" w:sz="0" w:space="0" w:color="auto"/>
        <w:right w:val="none" w:sz="0" w:space="0" w:color="auto"/>
      </w:divBdr>
    </w:div>
    <w:div w:id="1016542897">
      <w:bodyDiv w:val="1"/>
      <w:marLeft w:val="0"/>
      <w:marRight w:val="0"/>
      <w:marTop w:val="0"/>
      <w:marBottom w:val="0"/>
      <w:divBdr>
        <w:top w:val="none" w:sz="0" w:space="0" w:color="auto"/>
        <w:left w:val="none" w:sz="0" w:space="0" w:color="auto"/>
        <w:bottom w:val="none" w:sz="0" w:space="0" w:color="auto"/>
        <w:right w:val="none" w:sz="0" w:space="0" w:color="auto"/>
      </w:divBdr>
    </w:div>
    <w:div w:id="1073814439">
      <w:bodyDiv w:val="1"/>
      <w:marLeft w:val="0"/>
      <w:marRight w:val="0"/>
      <w:marTop w:val="0"/>
      <w:marBottom w:val="0"/>
      <w:divBdr>
        <w:top w:val="none" w:sz="0" w:space="0" w:color="auto"/>
        <w:left w:val="none" w:sz="0" w:space="0" w:color="auto"/>
        <w:bottom w:val="none" w:sz="0" w:space="0" w:color="auto"/>
        <w:right w:val="none" w:sz="0" w:space="0" w:color="auto"/>
      </w:divBdr>
    </w:div>
    <w:div w:id="1087386199">
      <w:bodyDiv w:val="1"/>
      <w:marLeft w:val="0"/>
      <w:marRight w:val="0"/>
      <w:marTop w:val="0"/>
      <w:marBottom w:val="0"/>
      <w:divBdr>
        <w:top w:val="none" w:sz="0" w:space="0" w:color="auto"/>
        <w:left w:val="none" w:sz="0" w:space="0" w:color="auto"/>
        <w:bottom w:val="none" w:sz="0" w:space="0" w:color="auto"/>
        <w:right w:val="none" w:sz="0" w:space="0" w:color="auto"/>
      </w:divBdr>
    </w:div>
    <w:div w:id="1163082847">
      <w:bodyDiv w:val="1"/>
      <w:marLeft w:val="0"/>
      <w:marRight w:val="0"/>
      <w:marTop w:val="0"/>
      <w:marBottom w:val="0"/>
      <w:divBdr>
        <w:top w:val="none" w:sz="0" w:space="0" w:color="auto"/>
        <w:left w:val="none" w:sz="0" w:space="0" w:color="auto"/>
        <w:bottom w:val="none" w:sz="0" w:space="0" w:color="auto"/>
        <w:right w:val="none" w:sz="0" w:space="0" w:color="auto"/>
      </w:divBdr>
    </w:div>
    <w:div w:id="1239633850">
      <w:bodyDiv w:val="1"/>
      <w:marLeft w:val="0"/>
      <w:marRight w:val="0"/>
      <w:marTop w:val="0"/>
      <w:marBottom w:val="0"/>
      <w:divBdr>
        <w:top w:val="none" w:sz="0" w:space="0" w:color="auto"/>
        <w:left w:val="none" w:sz="0" w:space="0" w:color="auto"/>
        <w:bottom w:val="none" w:sz="0" w:space="0" w:color="auto"/>
        <w:right w:val="none" w:sz="0" w:space="0" w:color="auto"/>
      </w:divBdr>
    </w:div>
    <w:div w:id="1259022791">
      <w:bodyDiv w:val="1"/>
      <w:marLeft w:val="0"/>
      <w:marRight w:val="0"/>
      <w:marTop w:val="0"/>
      <w:marBottom w:val="0"/>
      <w:divBdr>
        <w:top w:val="none" w:sz="0" w:space="0" w:color="auto"/>
        <w:left w:val="none" w:sz="0" w:space="0" w:color="auto"/>
        <w:bottom w:val="none" w:sz="0" w:space="0" w:color="auto"/>
        <w:right w:val="none" w:sz="0" w:space="0" w:color="auto"/>
      </w:divBdr>
    </w:div>
    <w:div w:id="1283416186">
      <w:bodyDiv w:val="1"/>
      <w:marLeft w:val="0"/>
      <w:marRight w:val="0"/>
      <w:marTop w:val="0"/>
      <w:marBottom w:val="0"/>
      <w:divBdr>
        <w:top w:val="none" w:sz="0" w:space="0" w:color="auto"/>
        <w:left w:val="none" w:sz="0" w:space="0" w:color="auto"/>
        <w:bottom w:val="none" w:sz="0" w:space="0" w:color="auto"/>
        <w:right w:val="none" w:sz="0" w:space="0" w:color="auto"/>
      </w:divBdr>
    </w:div>
    <w:div w:id="1324091314">
      <w:bodyDiv w:val="1"/>
      <w:marLeft w:val="0"/>
      <w:marRight w:val="0"/>
      <w:marTop w:val="0"/>
      <w:marBottom w:val="0"/>
      <w:divBdr>
        <w:top w:val="none" w:sz="0" w:space="0" w:color="auto"/>
        <w:left w:val="none" w:sz="0" w:space="0" w:color="auto"/>
        <w:bottom w:val="none" w:sz="0" w:space="0" w:color="auto"/>
        <w:right w:val="none" w:sz="0" w:space="0" w:color="auto"/>
      </w:divBdr>
    </w:div>
    <w:div w:id="1326737932">
      <w:bodyDiv w:val="1"/>
      <w:marLeft w:val="0"/>
      <w:marRight w:val="0"/>
      <w:marTop w:val="0"/>
      <w:marBottom w:val="0"/>
      <w:divBdr>
        <w:top w:val="none" w:sz="0" w:space="0" w:color="auto"/>
        <w:left w:val="none" w:sz="0" w:space="0" w:color="auto"/>
        <w:bottom w:val="none" w:sz="0" w:space="0" w:color="auto"/>
        <w:right w:val="none" w:sz="0" w:space="0" w:color="auto"/>
      </w:divBdr>
    </w:div>
    <w:div w:id="1425028062">
      <w:bodyDiv w:val="1"/>
      <w:marLeft w:val="0"/>
      <w:marRight w:val="0"/>
      <w:marTop w:val="0"/>
      <w:marBottom w:val="0"/>
      <w:divBdr>
        <w:top w:val="none" w:sz="0" w:space="0" w:color="auto"/>
        <w:left w:val="none" w:sz="0" w:space="0" w:color="auto"/>
        <w:bottom w:val="none" w:sz="0" w:space="0" w:color="auto"/>
        <w:right w:val="none" w:sz="0" w:space="0" w:color="auto"/>
      </w:divBdr>
    </w:div>
    <w:div w:id="1457218742">
      <w:bodyDiv w:val="1"/>
      <w:marLeft w:val="0"/>
      <w:marRight w:val="0"/>
      <w:marTop w:val="0"/>
      <w:marBottom w:val="0"/>
      <w:divBdr>
        <w:top w:val="none" w:sz="0" w:space="0" w:color="auto"/>
        <w:left w:val="none" w:sz="0" w:space="0" w:color="auto"/>
        <w:bottom w:val="none" w:sz="0" w:space="0" w:color="auto"/>
        <w:right w:val="none" w:sz="0" w:space="0" w:color="auto"/>
      </w:divBdr>
    </w:div>
    <w:div w:id="1643195910">
      <w:bodyDiv w:val="1"/>
      <w:marLeft w:val="0"/>
      <w:marRight w:val="0"/>
      <w:marTop w:val="0"/>
      <w:marBottom w:val="0"/>
      <w:divBdr>
        <w:top w:val="none" w:sz="0" w:space="0" w:color="auto"/>
        <w:left w:val="none" w:sz="0" w:space="0" w:color="auto"/>
        <w:bottom w:val="none" w:sz="0" w:space="0" w:color="auto"/>
        <w:right w:val="none" w:sz="0" w:space="0" w:color="auto"/>
      </w:divBdr>
    </w:div>
    <w:div w:id="1710454974">
      <w:bodyDiv w:val="1"/>
      <w:marLeft w:val="0"/>
      <w:marRight w:val="0"/>
      <w:marTop w:val="0"/>
      <w:marBottom w:val="0"/>
      <w:divBdr>
        <w:top w:val="none" w:sz="0" w:space="0" w:color="auto"/>
        <w:left w:val="none" w:sz="0" w:space="0" w:color="auto"/>
        <w:bottom w:val="none" w:sz="0" w:space="0" w:color="auto"/>
        <w:right w:val="none" w:sz="0" w:space="0" w:color="auto"/>
      </w:divBdr>
    </w:div>
    <w:div w:id="1788618930">
      <w:bodyDiv w:val="1"/>
      <w:marLeft w:val="0"/>
      <w:marRight w:val="0"/>
      <w:marTop w:val="0"/>
      <w:marBottom w:val="0"/>
      <w:divBdr>
        <w:top w:val="none" w:sz="0" w:space="0" w:color="auto"/>
        <w:left w:val="none" w:sz="0" w:space="0" w:color="auto"/>
        <w:bottom w:val="none" w:sz="0" w:space="0" w:color="auto"/>
        <w:right w:val="none" w:sz="0" w:space="0" w:color="auto"/>
      </w:divBdr>
    </w:div>
    <w:div w:id="1903907912">
      <w:bodyDiv w:val="1"/>
      <w:marLeft w:val="0"/>
      <w:marRight w:val="0"/>
      <w:marTop w:val="0"/>
      <w:marBottom w:val="0"/>
      <w:divBdr>
        <w:top w:val="none" w:sz="0" w:space="0" w:color="auto"/>
        <w:left w:val="none" w:sz="0" w:space="0" w:color="auto"/>
        <w:bottom w:val="none" w:sz="0" w:space="0" w:color="auto"/>
        <w:right w:val="none" w:sz="0" w:space="0" w:color="auto"/>
      </w:divBdr>
    </w:div>
    <w:div w:id="204119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fast.dol.go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pbgc.gov/generalfaqs"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bgc.gov/wr/benefits/guaranteed-benefits/maximum-guarante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nsion@pantex.doe.go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pbgc.gov/about/factsheets/page/termination"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2026938673"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Office16\STARTUP\Aon-Report-LTR-R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ormat xmlns="ce1bc29d-3ce5-48cc-89bd-4b979f27544d">Word Document</Format>
    <Author0 xmlns="ce1bc29d-3ce5-48cc-89bd-4b979f27544d">Justin Kear</Author0>
    <IconOverlay xmlns="http://schemas.microsoft.com/sharepoint/v4" xsi:nil="true"/>
    <News_x0020_and_x0020_Announcements xmlns="ce1bc29d-3ce5-48cc-89bd-4b979f27544d">false</News_x0020_and_x0020_Announcements>
    <Topic xmlns="ce1bc29d-3ce5-48cc-89bd-4b979f27544d">
      <Value>Govt Reporting and Compliance</Value>
    </Topic>
    <Brand_x0020_Status xmlns="ce1bc29d-3ce5-48cc-89bd-4b979f27544d">N/A</Brand_x0020_Status>
    <AH_x0020_Document xmlns="ce1bc29d-3ce5-48cc-89bd-4b979f27544d">true</AH_x0020_Document>
    <pde7ec431eea41368cd6ddcbe5af550c xmlns="ce1bc29d-3ce5-48cc-89bd-4b979f27544d">
      <Terms xmlns="http://schemas.microsoft.com/office/infopath/2007/PartnerControls">
        <TermInfo xmlns="http://schemas.microsoft.com/office/infopath/2007/PartnerControls">
          <TermName xmlns="http://schemas.microsoft.com/office/infopath/2007/PartnerControls">Annual Funding Notice</TermName>
          <TermId xmlns="http://schemas.microsoft.com/office/infopath/2007/PartnerControls">9ce1b207-4a2c-4b23-972b-a8a46982c46b</TermId>
        </TermInfo>
      </Terms>
    </pde7ec431eea41368cd6ddcbe5af550c>
    <Type_x0020_of_x0020_Content xmlns="ce1bc29d-3ce5-48cc-89bd-4b979f27544d">
      <Value>Project Deliverable</Value>
    </Type_x0020_of_x0020_Content>
    <Date_x0020_Created xmlns="ce1bc29d-3ce5-48cc-89bd-4b979f27544d">2025-03-04T06:00:00+00:00</Date_x0020_Created>
    <Geography xmlns="ce1bc29d-3ce5-48cc-89bd-4b979f27544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3B0DB8D96A2847B161BE656C64BEEC" ma:contentTypeVersion="29" ma:contentTypeDescription="Create a new document." ma:contentTypeScope="" ma:versionID="3c279567a6bbbe2a3dfc3d84a4515938">
  <xsd:schema xmlns:xsd="http://www.w3.org/2001/XMLSchema" xmlns:xs="http://www.w3.org/2001/XMLSchema" xmlns:p="http://schemas.microsoft.com/office/2006/metadata/properties" xmlns:ns2="ce1bc29d-3ce5-48cc-89bd-4b979f27544d" xmlns:ns3="343a5b5e-26cb-4195-9958-61a9d3e83d68" xmlns:ns4="http://schemas.microsoft.com/sharepoint/v4" targetNamespace="http://schemas.microsoft.com/office/2006/metadata/properties" ma:root="true" ma:fieldsID="5979b56eaa61d119d86a8817e21348ff" ns2:_="" ns3:_="" ns4:_="">
    <xsd:import namespace="ce1bc29d-3ce5-48cc-89bd-4b979f27544d"/>
    <xsd:import namespace="343a5b5e-26cb-4195-9958-61a9d3e83d68"/>
    <xsd:import namespace="http://schemas.microsoft.com/sharepoint/v4"/>
    <xsd:element name="properties">
      <xsd:complexType>
        <xsd:sequence>
          <xsd:element name="documentManagement">
            <xsd:complexType>
              <xsd:all>
                <xsd:element ref="ns2:Topic" minOccurs="0"/>
                <xsd:element ref="ns2:Type_x0020_of_x0020_Content" minOccurs="0"/>
                <xsd:element ref="ns2:Date_x0020_Created" minOccurs="0"/>
                <xsd:element ref="ns2:Author0" minOccurs="0"/>
                <xsd:element ref="ns2:Geography" minOccurs="0"/>
                <xsd:element ref="ns2:Format"/>
                <xsd:element ref="ns2:News_x0020_and_x0020_Announcements" minOccurs="0"/>
                <xsd:element ref="ns2:pde7ec431eea41368cd6ddcbe5af550c" minOccurs="0"/>
                <xsd:element ref="ns2:AH_x0020_Document" minOccurs="0"/>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4:IconOverlay" minOccurs="0"/>
                <xsd:element ref="ns2:Brand_x0020_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1bc29d-3ce5-48cc-89bd-4b979f27544d" elementFormDefault="qualified">
    <xsd:import namespace="http://schemas.microsoft.com/office/2006/documentManagement/types"/>
    <xsd:import namespace="http://schemas.microsoft.com/office/infopath/2007/PartnerControls"/>
    <xsd:element name="Topic" ma:index="1" nillable="true" ma:displayName="Topic" ma:internalName="Topic">
      <xsd:complexType>
        <xsd:complexContent>
          <xsd:extension base="dms:MultiChoiceFillIn">
            <xsd:sequence>
              <xsd:element name="Value" maxOccurs="unbounded" minOccurs="0" nillable="true">
                <xsd:simpleType>
                  <xsd:union memberTypes="dms:Text">
                    <xsd:simpleType>
                      <xsd:restriction base="dms:Choice">
                        <xsd:enumeration value="Accounting"/>
                        <xsd:enumeration value="Assumptions and Experience Studies"/>
                        <xsd:enumeration value="Financial Well-Being"/>
                        <xsd:enumeration value="Funding"/>
                        <xsd:enumeration value="General"/>
                        <xsd:enumeration value="Govt Reporting and Compliance"/>
                        <xsd:enumeration value="International"/>
                        <xsd:enumeration value="Pension Risk Management"/>
                        <xsd:enumeration value="Plan Administration and Calculations"/>
                        <xsd:enumeration value="Plan Design and Strategy"/>
                        <xsd:enumeration value="Plan Design: Unique Plan Provisions"/>
                        <xsd:enumeration value="Other"/>
                        <xsd:enumeration value="Tools and Processes"/>
                      </xsd:restriction>
                    </xsd:simpleType>
                  </xsd:union>
                </xsd:simpleType>
              </xsd:element>
            </xsd:sequence>
          </xsd:extension>
        </xsd:complexContent>
      </xsd:complexType>
    </xsd:element>
    <xsd:element name="Type_x0020_of_x0020_Content" ma:index="4" nillable="true" ma:displayName="Purpose" ma:internalName="Type_x0020_of_x0020_Content" ma:requiredMultiChoice="true">
      <xsd:complexType>
        <xsd:complexContent>
          <xsd:extension base="dms:MultiChoice">
            <xsd:sequence>
              <xsd:element name="Value" maxOccurs="unbounded" minOccurs="0" nillable="true">
                <xsd:simpleType>
                  <xsd:restriction base="dms:Choice">
                    <xsd:enumeration value="Attestation"/>
                    <xsd:enumeration value="Benchmarking"/>
                    <xsd:enumeration value="Case Study"/>
                    <xsd:enumeration value="Client Sample"/>
                    <xsd:enumeration value="Email: Client"/>
                    <xsd:enumeration value="General"/>
                    <xsd:enumeration value="Meeting Notes"/>
                    <xsd:enumeration value="Newsletter"/>
                    <xsd:enumeration value="Operations"/>
                    <xsd:enumeration value="Presentation"/>
                    <xsd:enumeration value="Project Deliverable"/>
                    <xsd:enumeration value="Project Execution"/>
                    <xsd:enumeration value="Reference/Background"/>
                    <xsd:enumeration value="Sales: Finalist Meeting"/>
                    <xsd:enumeration value="Sales: RFPs"/>
                    <xsd:enumeration value="Sales: Promotion"/>
                    <xsd:enumeration value="Sales: SOW/JAL"/>
                    <xsd:enumeration value="Slides: Individual"/>
                    <xsd:enumeration value="Starter Materials"/>
                    <xsd:enumeration value="Thought Leadership"/>
                    <xsd:enumeration value="Training"/>
                    <xsd:enumeration value="White Paper"/>
                  </xsd:restriction>
                </xsd:simpleType>
              </xsd:element>
            </xsd:sequence>
          </xsd:extension>
        </xsd:complexContent>
      </xsd:complexType>
    </xsd:element>
    <xsd:element name="Date_x0020_Created" ma:index="5" nillable="true" ma:displayName="Created / Updated" ma:format="DateOnly" ma:indexed="true" ma:internalName="Date_x0020_Created">
      <xsd:simpleType>
        <xsd:restriction base="dms:DateTime"/>
      </xsd:simpleType>
    </xsd:element>
    <xsd:element name="Author0" ma:index="6" nillable="true" ma:displayName="Author" ma:description="Define a primary contact for report" ma:internalName="Author0">
      <xsd:simpleType>
        <xsd:restriction base="dms:Text">
          <xsd:maxLength value="255"/>
        </xsd:restriction>
      </xsd:simpleType>
    </xsd:element>
    <xsd:element name="Geography" ma:index="7" nillable="true" ma:displayName="Geography" ma:description="Identify any unique geography considerations" ma:internalName="Geography">
      <xsd:complexType>
        <xsd:complexContent>
          <xsd:extension base="dms:MultiChoiceFillIn">
            <xsd:sequence>
              <xsd:element name="Value" maxOccurs="unbounded" minOccurs="0" nillable="true">
                <xsd:simpleType>
                  <xsd:union memberTypes="dms:Text">
                    <xsd:simpleType>
                      <xsd:restriction base="dms:Choice">
                        <xsd:enumeration value="Global"/>
                        <xsd:enumeration value="International"/>
                        <xsd:enumeration value="U.K."/>
                        <xsd:enumeration value="U.S. and International"/>
                        <xsd:enumeration value="U.S. Territories"/>
                        <xsd:enumeration value="United Kingdom"/>
                        <xsd:enumeration value="Region-APAC"/>
                        <xsd:enumeration value="Region-EMEA"/>
                        <xsd:enumeration value="Region-Americas"/>
                        <xsd:enumeration value="Austria"/>
                        <xsd:enumeration value="Belgium"/>
                        <xsd:enumeration value="Denmark"/>
                        <xsd:enumeration value="Finland"/>
                        <xsd:enumeration value="France"/>
                        <xsd:enumeration value="Germany"/>
                        <xsd:enumeration value="Greece"/>
                        <xsd:enumeration value="Ireland"/>
                        <xsd:enumeration value="Italy"/>
                        <xsd:enumeration value="Luxembourg"/>
                        <xsd:enumeration value="Netherlands"/>
                        <xsd:enumeration value="Norway"/>
                        <xsd:enumeration value="Poland"/>
                        <xsd:enumeration value="Portugal"/>
                        <xsd:enumeration value="Saudi Arabia"/>
                        <xsd:enumeration value="South Africa"/>
                        <xsd:enumeration value="Spain"/>
                        <xsd:enumeration value="Sweden"/>
                        <xsd:enumeration value="Switzerland"/>
                        <xsd:enumeration value="Turkey"/>
                        <xsd:enumeration value="UAE"/>
                        <xsd:enumeration value="UK Company"/>
                        <xsd:enumeration value="UK Trustee"/>
                        <xsd:enumeration value="Australia"/>
                        <xsd:enumeration value="China"/>
                        <xsd:enumeration value="Hong Kong"/>
                        <xsd:enumeration value="India"/>
                        <xsd:enumeration value="Indonesia"/>
                        <xsd:enumeration value="Japan"/>
                        <xsd:enumeration value="Malaysia"/>
                        <xsd:enumeration value="Pakistan"/>
                        <xsd:enumeration value="Philippines"/>
                        <xsd:enumeration value="Russia"/>
                        <xsd:enumeration value="Singapore"/>
                        <xsd:enumeration value="South Korea"/>
                        <xsd:enumeration value="Taiwan"/>
                        <xsd:enumeration value="Thailand"/>
                        <xsd:enumeration value="Argentina"/>
                        <xsd:enumeration value="Brazil"/>
                        <xsd:enumeration value="Chile"/>
                        <xsd:enumeration value="Canada"/>
                        <xsd:enumeration value="Colombia"/>
                        <xsd:enumeration value="Costa Rica"/>
                        <xsd:enumeration value="Dominican Republic"/>
                        <xsd:enumeration value="Ecuador"/>
                        <xsd:enumeration value="Guatemala"/>
                        <xsd:enumeration value="Jamaica"/>
                        <xsd:enumeration value="Mexico"/>
                        <xsd:enumeration value="USA"/>
                        <xsd:enumeration value="Venezuela"/>
                        <xsd:enumeration value="New Zealand"/>
                        <xsd:enumeration value="Nigeria"/>
                        <xsd:enumeration value="Qatar"/>
                        <xsd:enumeration value="Romania"/>
                        <xsd:enumeration value="Slovenia"/>
                        <xsd:enumeration value="Barbados"/>
                        <xsd:enumeration value="Trinidad"/>
                      </xsd:restriction>
                    </xsd:simpleType>
                  </xsd:union>
                </xsd:simpleType>
              </xsd:element>
            </xsd:sequence>
          </xsd:extension>
        </xsd:complexContent>
      </xsd:complexType>
    </xsd:element>
    <xsd:element name="Format" ma:index="8" ma:displayName="Format" ma:description="Identify the format of the document" ma:format="Dropdown" ma:indexed="true" ma:internalName="Format">
      <xsd:simpleType>
        <xsd:restriction base="dms:Choice">
          <xsd:enumeration value="Email"/>
          <xsd:enumeration value="Excel"/>
          <xsd:enumeration value="Invitation"/>
          <xsd:enumeration value="PDF"/>
          <xsd:enumeration value="PowerPoint"/>
          <xsd:enumeration value="PowerPoint Brochure"/>
          <xsd:enumeration value="PowerPoint Placemat"/>
          <xsd:enumeration value="Webinar"/>
          <xsd:enumeration value="Word Document"/>
          <xsd:enumeration value="Thought Leadership: Presentation"/>
          <xsd:enumeration value="Thought Leadership: Study/Research"/>
          <xsd:enumeration value="Thought Leadership: Webinar"/>
          <xsd:enumeration value="Thought Leadership&quot; White Paper"/>
          <xsd:enumeration value="Other"/>
        </xsd:restriction>
      </xsd:simpleType>
    </xsd:element>
    <xsd:element name="News_x0020_and_x0020_Announcements" ma:index="9" nillable="true" ma:displayName="News and Announcements" ma:default="0" ma:description="Identify if this item should show in news" ma:indexed="true" ma:internalName="News_x0020_and_x0020_Announcements">
      <xsd:simpleType>
        <xsd:restriction base="dms:Boolean"/>
      </xsd:simpleType>
    </xsd:element>
    <xsd:element name="pde7ec431eea41368cd6ddcbe5af550c" ma:index="12" nillable="true" ma:taxonomy="true" ma:internalName="pde7ec431eea41368cd6ddcbe5af550c" ma:taxonomyFieldName="Metadata_x0020_Tag" ma:displayName="Subtopics" ma:readOnly="false" ma:default="" ma:fieldId="{9de7ec43-1eea-4136-8cd6-ddcbe5af550c}" ma:taxonomyMulti="true" ma:sspId="1fdf30fe-1347-464b-aacb-c31a0be721fc" ma:termSetId="c008cce2-7f79-4203-bd17-007ed2b0536e" ma:anchorId="00000000-0000-0000-0000-000000000000" ma:open="true" ma:isKeyword="false">
      <xsd:complexType>
        <xsd:sequence>
          <xsd:element ref="pc:Terms" minOccurs="0" maxOccurs="1"/>
        </xsd:sequence>
      </xsd:complexType>
    </xsd:element>
    <xsd:element name="AH_x0020_Document" ma:index="17" nillable="true" ma:displayName="Aon Document" ma:default="1" ma:description="Identify if this is an Aon Document" ma:indexed="true" ma:internalName="AH_x0020_Document">
      <xsd:simpleType>
        <xsd:restriction base="dms:Boolea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Brand_x0020_Status" ma:index="27" nillable="true" ma:displayName="Brand Status" ma:default="N/A" ma:description="Identify when documents are brand compliant and should be showcased in the new brand library" ma:format="Dropdown" ma:indexed="true" ma:internalName="Brand_x0020_Status">
      <xsd:simpleType>
        <xsd:restriction base="dms:Choice">
          <xsd:enumeration value="New and Old"/>
          <xsd:enumeration value="New Only"/>
          <xsd:enumeration value="N/A"/>
        </xsd:restrictio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3a5b5e-26cb-4195-9958-61a9d3e83d68"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436FA-0871-4833-94D8-1994C26E382F}">
  <ds:schemaRefs>
    <ds:schemaRef ds:uri="http://schemas.microsoft.com/office/2006/metadata/properties"/>
    <ds:schemaRef ds:uri="http://schemas.microsoft.com/office/infopath/2007/PartnerControls"/>
    <ds:schemaRef ds:uri="ce1bc29d-3ce5-48cc-89bd-4b979f27544d"/>
    <ds:schemaRef ds:uri="http://schemas.microsoft.com/sharepoint/v4"/>
  </ds:schemaRefs>
</ds:datastoreItem>
</file>

<file path=customXml/itemProps2.xml><?xml version="1.0" encoding="utf-8"?>
<ds:datastoreItem xmlns:ds="http://schemas.openxmlformats.org/officeDocument/2006/customXml" ds:itemID="{98804B43-1533-4F2C-B033-CBF95E85E254}">
  <ds:schemaRefs>
    <ds:schemaRef ds:uri="http://schemas.microsoft.com/sharepoint/v3/contenttype/forms"/>
  </ds:schemaRefs>
</ds:datastoreItem>
</file>

<file path=customXml/itemProps3.xml><?xml version="1.0" encoding="utf-8"?>
<ds:datastoreItem xmlns:ds="http://schemas.openxmlformats.org/officeDocument/2006/customXml" ds:itemID="{1606BD33-B54C-4B66-945E-17148DE0F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1bc29d-3ce5-48cc-89bd-4b979f27544d"/>
    <ds:schemaRef ds:uri="343a5b5e-26cb-4195-9958-61a9d3e83d6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4397C8-03BD-4309-8105-1B87C6495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Aon-Report-LTR-RED</Template>
  <TotalTime>1</TotalTime>
  <Pages>7</Pages>
  <Words>2422</Words>
  <Characters>13799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Aon Model AFN_SECURE 2.0 Changes</vt:lpstr>
    </vt:vector>
  </TitlesOfParts>
  <Company>Aon</Company>
  <LinksUpToDate>false</LinksUpToDate>
  <CharactersWithSpaces>16189</CharactersWithSpaces>
  <SharedDoc>false</SharedDoc>
  <HLinks>
    <vt:vector size="30" baseType="variant">
      <vt:variant>
        <vt:i4>2359350</vt:i4>
      </vt:variant>
      <vt:variant>
        <vt:i4>12</vt:i4>
      </vt:variant>
      <vt:variant>
        <vt:i4>0</vt:i4>
      </vt:variant>
      <vt:variant>
        <vt:i4>5</vt:i4>
      </vt:variant>
      <vt:variant>
        <vt:lpwstr>http://www.pbgc.gov/generalfaqs</vt:lpwstr>
      </vt:variant>
      <vt:variant>
        <vt:lpwstr/>
      </vt:variant>
      <vt:variant>
        <vt:i4>5374016</vt:i4>
      </vt:variant>
      <vt:variant>
        <vt:i4>9</vt:i4>
      </vt:variant>
      <vt:variant>
        <vt:i4>0</vt:i4>
      </vt:variant>
      <vt:variant>
        <vt:i4>5</vt:i4>
      </vt:variant>
      <vt:variant>
        <vt:lpwstr>http://www.pbgc.gov/</vt:lpwstr>
      </vt:variant>
      <vt:variant>
        <vt:lpwstr/>
      </vt:variant>
      <vt:variant>
        <vt:i4>5374016</vt:i4>
      </vt:variant>
      <vt:variant>
        <vt:i4>6</vt:i4>
      </vt:variant>
      <vt:variant>
        <vt:i4>0</vt:i4>
      </vt:variant>
      <vt:variant>
        <vt:i4>5</vt:i4>
      </vt:variant>
      <vt:variant>
        <vt:lpwstr>http://www.pbgc.gov/</vt:lpwstr>
      </vt:variant>
      <vt:variant>
        <vt:lpwstr/>
      </vt:variant>
      <vt:variant>
        <vt:i4>5374016</vt:i4>
      </vt:variant>
      <vt:variant>
        <vt:i4>3</vt:i4>
      </vt:variant>
      <vt:variant>
        <vt:i4>0</vt:i4>
      </vt:variant>
      <vt:variant>
        <vt:i4>5</vt:i4>
      </vt:variant>
      <vt:variant>
        <vt:lpwstr>http://www.pbgc.gov/</vt:lpwstr>
      </vt:variant>
      <vt:variant>
        <vt:lpwstr/>
      </vt:variant>
      <vt:variant>
        <vt:i4>4325445</vt:i4>
      </vt:variant>
      <vt:variant>
        <vt:i4>0</vt:i4>
      </vt:variant>
      <vt:variant>
        <vt:i4>0</vt:i4>
      </vt:variant>
      <vt:variant>
        <vt:i4>5</vt:i4>
      </vt:variant>
      <vt:variant>
        <vt:lpwstr>http://www.efast.dol.gov/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Aon Model AFN_SECURE 2.0 Changes</dc:title>
  <dc:subject/>
  <dc:creator>Anita Juneja</dc:creator>
  <cp:keywords/>
  <cp:lastModifiedBy>Yates, Karen L [PXD]</cp:lastModifiedBy>
  <cp:revision>3</cp:revision>
  <cp:lastPrinted>2014-01-06T17:46:00Z</cp:lastPrinted>
  <dcterms:created xsi:type="dcterms:W3CDTF">2025-04-15T14:26:00Z</dcterms:created>
  <dcterms:modified xsi:type="dcterms:W3CDTF">2025-04-15T17:37:00Z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PSVersion">
    <vt:lpwstr>001</vt:lpwstr>
  </property>
  <property fmtid="{D5CDD505-2E9C-101B-9397-08002B2CF9AE}" pid="3" name="numARPSFiles">
    <vt:lpwstr>1</vt:lpwstr>
  </property>
  <property fmtid="{D5CDD505-2E9C-101B-9397-08002B2CF9AE}" pid="4" name="ARPSType1">
    <vt:lpwstr>Excel</vt:lpwstr>
  </property>
  <property fmtid="{D5CDD505-2E9C-101B-9397-08002B2CF9AE}" pid="5" name="ARPSAbbr1">
    <vt:lpwstr>1</vt:lpwstr>
  </property>
  <property fmtid="{D5CDD505-2E9C-101B-9397-08002B2CF9AE}" pid="6" name="ARPSDesc1">
    <vt:lpwstr/>
  </property>
  <property fmtid="{D5CDD505-2E9C-101B-9397-08002B2CF9AE}" pid="7" name="ARPSFile1">
    <vt:lpwstr>C:\Users\ah46510\OneDrive - Aon\Desktop\NVT Training\2023_Annual Funding Notice_v01_ARPS Testing.xlsx</vt:lpwstr>
  </property>
  <property fmtid="{D5CDD505-2E9C-101B-9397-08002B2CF9AE}" pid="8" name="ARPSDesc2">
    <vt:lpwstr/>
  </property>
  <property fmtid="{D5CDD505-2E9C-101B-9397-08002B2CF9AE}" pid="9" name="TitusGUID">
    <vt:lpwstr>60ec3cca-b11e-4987-9211-c13e25efaa9c</vt:lpwstr>
  </property>
  <property fmtid="{D5CDD505-2E9C-101B-9397-08002B2CF9AE}" pid="10" name="AonClassification">
    <vt:lpwstr>ADC_class_200</vt:lpwstr>
  </property>
  <property fmtid="{D5CDD505-2E9C-101B-9397-08002B2CF9AE}" pid="11" name="MSIP_Label_875a5b46-6a40-4ffc-90be-3fcbddbfaaf1_ActionId">
    <vt:lpwstr>0f4b5dd3-40bc-408a-97a6-3dba768f60af</vt:lpwstr>
  </property>
  <property fmtid="{D5CDD505-2E9C-101B-9397-08002B2CF9AE}" pid="12" name="MSIP_Label_875a5b46-6a40-4ffc-90be-3fcbddbfaaf1_Name">
    <vt:lpwstr>CONFIDENTIAL \ CONFIDENTIAL</vt:lpwstr>
  </property>
  <property fmtid="{D5CDD505-2E9C-101B-9397-08002B2CF9AE}" pid="13" name="MSIP_Label_875a5b46-6a40-4ffc-90be-3fcbddbfaaf1_SetDate">
    <vt:lpwstr>2025-04-04T20:19:11Z</vt:lpwstr>
  </property>
  <property fmtid="{D5CDD505-2E9C-101B-9397-08002B2CF9AE}" pid="14" name="MSIP_Label_875a5b46-6a40-4ffc-90be-3fcbddbfaaf1_SiteId">
    <vt:lpwstr>94cfddbc-0627-494a-ad7a-29aea3aea832</vt:lpwstr>
  </property>
  <property fmtid="{D5CDD505-2E9C-101B-9397-08002B2CF9AE}" pid="15" name="MSIP_Label_875a5b46-6a40-4ffc-90be-3fcbddbfaaf1_Enabled">
    <vt:lpwstr>True</vt:lpwstr>
  </property>
  <property fmtid="{D5CDD505-2E9C-101B-9397-08002B2CF9AE}" pid="16" name="ARPS_210">
    <vt:lpwstr>1:PlanNameFormal</vt:lpwstr>
  </property>
  <property fmtid="{D5CDD505-2E9C-101B-9397-08002B2CF9AE}" pid="17" name="ARPS_211">
    <vt:lpwstr>1:ValDate</vt:lpwstr>
  </property>
  <property fmtid="{D5CDD505-2E9C-101B-9397-08002B2CF9AE}" pid="18" name="ARPS_212">
    <vt:lpwstr>1:ValDateEOY</vt:lpwstr>
  </property>
  <property fmtid="{D5CDD505-2E9C-101B-9397-08002B2CF9AE}" pid="19" name="ARPS_21">
    <vt:lpwstr>1:ValYr</vt:lpwstr>
  </property>
  <property fmtid="{D5CDD505-2E9C-101B-9397-08002B2CF9AE}" pid="20" name="ARPS_22">
    <vt:lpwstr>1:ValYr.py</vt:lpwstr>
  </property>
  <property fmtid="{D5CDD505-2E9C-101B-9397-08002B2CF9AE}" pid="21" name="ARPS_23">
    <vt:lpwstr>1:ValYr.py2</vt:lpwstr>
  </property>
  <property fmtid="{D5CDD505-2E9C-101B-9397-08002B2CF9AE}" pid="22" name="ARPS_204">
    <vt:lpwstr>1:FTAPfn</vt:lpwstr>
  </property>
  <property fmtid="{D5CDD505-2E9C-101B-9397-08002B2CF9AE}" pid="23" name="ARPS_205">
    <vt:lpwstr>1:FTAPPreM21</vt:lpwstr>
  </property>
  <property fmtid="{D5CDD505-2E9C-101B-9397-08002B2CF9AE}" pid="24" name="ARPS_213">
    <vt:lpwstr>1:FTAPms.py</vt:lpwstr>
  </property>
  <property fmtid="{D5CDD505-2E9C-101B-9397-08002B2CF9AE}" pid="25" name="ARPS_218">
    <vt:lpwstr>1:FTAPPreM21.py</vt:lpwstr>
  </property>
  <property fmtid="{D5CDD505-2E9C-101B-9397-08002B2CF9AE}" pid="26" name="ARPS_216">
    <vt:lpwstr>1:FTAPms.py2</vt:lpwstr>
  </property>
  <property fmtid="{D5CDD505-2E9C-101B-9397-08002B2CF9AE}" pid="27" name="ARPS_219">
    <vt:lpwstr>1:FTAPPreM21.py2</vt:lpwstr>
  </property>
  <property fmtid="{D5CDD505-2E9C-101B-9397-08002B2CF9AE}" pid="28" name="ARPS_206">
    <vt:lpwstr>1:FundSF</vt:lpwstr>
  </property>
  <property fmtid="{D5CDD505-2E9C-101B-9397-08002B2CF9AE}" pid="29" name="ARPS_207">
    <vt:lpwstr>1:FundSFPreM21</vt:lpwstr>
  </property>
  <property fmtid="{D5CDD505-2E9C-101B-9397-08002B2CF9AE}" pid="30" name="ARPS_214">
    <vt:lpwstr>1:FundSFms.py</vt:lpwstr>
  </property>
  <property fmtid="{D5CDD505-2E9C-101B-9397-08002B2CF9AE}" pid="31" name="ARPS_220">
    <vt:lpwstr>1:FundSFPreM21.py</vt:lpwstr>
  </property>
  <property fmtid="{D5CDD505-2E9C-101B-9397-08002B2CF9AE}" pid="32" name="ARPS_217">
    <vt:lpwstr>1:FundSFms.py2</vt:lpwstr>
  </property>
  <property fmtid="{D5CDD505-2E9C-101B-9397-08002B2CF9AE}" pid="33" name="ARPS_221">
    <vt:lpwstr>1:FundSFPreM21.py2</vt:lpwstr>
  </property>
  <property fmtid="{D5CDD505-2E9C-101B-9397-08002B2CF9AE}" pid="34" name="ARPS_208">
    <vt:lpwstr>1:PrelimMRC</vt:lpwstr>
  </property>
  <property fmtid="{D5CDD505-2E9C-101B-9397-08002B2CF9AE}" pid="35" name="ARPS_209">
    <vt:lpwstr>1:PrelimMRCPreM21ms</vt:lpwstr>
  </property>
  <property fmtid="{D5CDD505-2E9C-101B-9397-08002B2CF9AE}" pid="36" name="ARPS_215">
    <vt:lpwstr>1:PrelimMRCms.py</vt:lpwstr>
  </property>
  <property fmtid="{D5CDD505-2E9C-101B-9397-08002B2CF9AE}" pid="37" name="ARPS_222">
    <vt:lpwstr>1:PrelimMRCPreM21ms.py</vt:lpwstr>
  </property>
  <property fmtid="{D5CDD505-2E9C-101B-9397-08002B2CF9AE}" pid="38" name="ARPS_227">
    <vt:lpwstr>1:PrelimMRCms.py2</vt:lpwstr>
  </property>
  <property fmtid="{D5CDD505-2E9C-101B-9397-08002B2CF9AE}" pid="39" name="ARPS_223">
    <vt:lpwstr>1:PrelimMRCPreM21ms.py2</vt:lpwstr>
  </property>
  <property fmtid="{D5CDD505-2E9C-101B-9397-08002B2CF9AE}" pid="40" name="ARPS_24">
    <vt:lpwstr>1:ValYr</vt:lpwstr>
  </property>
  <property fmtid="{D5CDD505-2E9C-101B-9397-08002B2CF9AE}" pid="41" name="ARPS_25">
    <vt:lpwstr>1:ValYr.py</vt:lpwstr>
  </property>
  <property fmtid="{D5CDD505-2E9C-101B-9397-08002B2CF9AE}" pid="42" name="ARPS_230">
    <vt:lpwstr>1:FTAPfn</vt:lpwstr>
  </property>
  <property fmtid="{D5CDD505-2E9C-101B-9397-08002B2CF9AE}" pid="43" name="ARPS_231">
    <vt:lpwstr>1:FTAPPreM21</vt:lpwstr>
  </property>
  <property fmtid="{D5CDD505-2E9C-101B-9397-08002B2CF9AE}" pid="44" name="ARPS_224">
    <vt:lpwstr>1:FTAPms.py</vt:lpwstr>
  </property>
  <property fmtid="{D5CDD505-2E9C-101B-9397-08002B2CF9AE}" pid="45" name="ARPS_232">
    <vt:lpwstr>1:FTAPPreM21.py</vt:lpwstr>
  </property>
  <property fmtid="{D5CDD505-2E9C-101B-9397-08002B2CF9AE}" pid="46" name="ARPS_233">
    <vt:lpwstr>1:FundSF</vt:lpwstr>
  </property>
  <property fmtid="{D5CDD505-2E9C-101B-9397-08002B2CF9AE}" pid="47" name="ARPS_234">
    <vt:lpwstr>1:FundSFPreM21</vt:lpwstr>
  </property>
  <property fmtid="{D5CDD505-2E9C-101B-9397-08002B2CF9AE}" pid="48" name="ARPS_225">
    <vt:lpwstr>1:FundSFms.py</vt:lpwstr>
  </property>
  <property fmtid="{D5CDD505-2E9C-101B-9397-08002B2CF9AE}" pid="49" name="ARPS_235">
    <vt:lpwstr>1:FundSFPreM21.py</vt:lpwstr>
  </property>
  <property fmtid="{D5CDD505-2E9C-101B-9397-08002B2CF9AE}" pid="50" name="ARPS_236">
    <vt:lpwstr>1:PrelimMRC</vt:lpwstr>
  </property>
  <property fmtid="{D5CDD505-2E9C-101B-9397-08002B2CF9AE}" pid="51" name="ARPS_237">
    <vt:lpwstr>1:PrelimMRCPreM21ms</vt:lpwstr>
  </property>
  <property fmtid="{D5CDD505-2E9C-101B-9397-08002B2CF9AE}" pid="52" name="ARPS_226">
    <vt:lpwstr>1:PrelimMRCms.py</vt:lpwstr>
  </property>
  <property fmtid="{D5CDD505-2E9C-101B-9397-08002B2CF9AE}" pid="53" name="ARPS_238">
    <vt:lpwstr>1:PrelimMRCPreM21ms.py</vt:lpwstr>
  </property>
  <property fmtid="{D5CDD505-2E9C-101B-9397-08002B2CF9AE}" pid="54" name="ARPS_26">
    <vt:lpwstr>1:ValYr</vt:lpwstr>
  </property>
  <property fmtid="{D5CDD505-2E9C-101B-9397-08002B2CF9AE}" pid="55" name="ARPS_239">
    <vt:lpwstr>1:FTAPfn</vt:lpwstr>
  </property>
  <property fmtid="{D5CDD505-2E9C-101B-9397-08002B2CF9AE}" pid="56" name="ARPS_240">
    <vt:lpwstr>1:FTAPPreM21</vt:lpwstr>
  </property>
  <property fmtid="{D5CDD505-2E9C-101B-9397-08002B2CF9AE}" pid="57" name="ARPS_241">
    <vt:lpwstr>1:FundSF</vt:lpwstr>
  </property>
  <property fmtid="{D5CDD505-2E9C-101B-9397-08002B2CF9AE}" pid="58" name="ARPS_242">
    <vt:lpwstr>1:FundSFPreM21</vt:lpwstr>
  </property>
  <property fmtid="{D5CDD505-2E9C-101B-9397-08002B2CF9AE}" pid="59" name="ARPS_243">
    <vt:lpwstr>1:PrelimMRC</vt:lpwstr>
  </property>
  <property fmtid="{D5CDD505-2E9C-101B-9397-08002B2CF9AE}" pid="60" name="ARPS_244">
    <vt:lpwstr>1:PrelimMRCPreM21ms</vt:lpwstr>
  </property>
  <property fmtid="{D5CDD505-2E9C-101B-9397-08002B2CF9AE}" pid="61" name="ARPS_44">
    <vt:lpwstr>ValDate.py</vt:lpwstr>
  </property>
  <property fmtid="{D5CDD505-2E9C-101B-9397-08002B2CF9AE}" pid="62" name="ARPS_1">
    <vt:lpwstr>1:PlanNameFormal</vt:lpwstr>
  </property>
  <property fmtid="{D5CDD505-2E9C-101B-9397-08002B2CF9AE}" pid="63" name="ARPS_228">
    <vt:lpwstr>1:ValDate</vt:lpwstr>
  </property>
  <property fmtid="{D5CDD505-2E9C-101B-9397-08002B2CF9AE}" pid="64" name="ARPS_229">
    <vt:lpwstr>1:ValDateEOY</vt:lpwstr>
  </property>
  <property fmtid="{D5CDD505-2E9C-101B-9397-08002B2CF9AE}" pid="65" name="ARPS_27">
    <vt:lpwstr>1:ValYr</vt:lpwstr>
  </property>
  <property fmtid="{D5CDD505-2E9C-101B-9397-08002B2CF9AE}" pid="66" name="ARPS_28">
    <vt:lpwstr>1:ValYr.py</vt:lpwstr>
  </property>
  <property fmtid="{D5CDD505-2E9C-101B-9397-08002B2CF9AE}" pid="67" name="ARPS_29">
    <vt:lpwstr>1:ValYr.py2</vt:lpwstr>
  </property>
  <property fmtid="{D5CDD505-2E9C-101B-9397-08002B2CF9AE}" pid="68" name="ARPS_245">
    <vt:lpwstr>1:ValDate</vt:lpwstr>
  </property>
  <property fmtid="{D5CDD505-2E9C-101B-9397-08002B2CF9AE}" pid="69" name="ARPS_246">
    <vt:lpwstr>1:ValDate.py</vt:lpwstr>
  </property>
  <property fmtid="{D5CDD505-2E9C-101B-9397-08002B2CF9AE}" pid="70" name="ARPS_247">
    <vt:lpwstr>1:ValDate.py2</vt:lpwstr>
  </property>
  <property fmtid="{D5CDD505-2E9C-101B-9397-08002B2CF9AE}" pid="71" name="ARPS_248">
    <vt:lpwstr>1:AVAfn</vt:lpwstr>
  </property>
  <property fmtid="{D5CDD505-2E9C-101B-9397-08002B2CF9AE}" pid="72" name="ARPS_251">
    <vt:lpwstr>1:AVAfn.py</vt:lpwstr>
  </property>
  <property fmtid="{D5CDD505-2E9C-101B-9397-08002B2CF9AE}" pid="73" name="ARPS_252">
    <vt:lpwstr>1:AVAfn.py2</vt:lpwstr>
  </property>
  <property fmtid="{D5CDD505-2E9C-101B-9397-08002B2CF9AE}" pid="74" name="ARPS_253">
    <vt:lpwstr>1:FSCBAWfn</vt:lpwstr>
  </property>
  <property fmtid="{D5CDD505-2E9C-101B-9397-08002B2CF9AE}" pid="75" name="ARPS_254">
    <vt:lpwstr>1:FSCBAWfn.py</vt:lpwstr>
  </property>
  <property fmtid="{D5CDD505-2E9C-101B-9397-08002B2CF9AE}" pid="76" name="ARPS_255">
    <vt:lpwstr>1:FSCBAWfn.py2</vt:lpwstr>
  </property>
  <property fmtid="{D5CDD505-2E9C-101B-9397-08002B2CF9AE}" pid="77" name="ARPS_256">
    <vt:lpwstr>1:PFBAWfn</vt:lpwstr>
  </property>
  <property fmtid="{D5CDD505-2E9C-101B-9397-08002B2CF9AE}" pid="78" name="ARPS_257">
    <vt:lpwstr>1:PFBAWfn.py</vt:lpwstr>
  </property>
  <property fmtid="{D5CDD505-2E9C-101B-9397-08002B2CF9AE}" pid="79" name="ARPS_258">
    <vt:lpwstr>1:PFBAWfn.py2</vt:lpwstr>
  </property>
  <property fmtid="{D5CDD505-2E9C-101B-9397-08002B2CF9AE}" pid="80" name="ARPS_259">
    <vt:lpwstr>1:AdjAssetsFN</vt:lpwstr>
  </property>
  <property fmtid="{D5CDD505-2E9C-101B-9397-08002B2CF9AE}" pid="81" name="ARPS_260">
    <vt:lpwstr>1:AdjAssetsFN.py</vt:lpwstr>
  </property>
  <property fmtid="{D5CDD505-2E9C-101B-9397-08002B2CF9AE}" pid="82" name="ARPS_261">
    <vt:lpwstr>1:AdjAssetsFN.py2</vt:lpwstr>
  </property>
  <property fmtid="{D5CDD505-2E9C-101B-9397-08002B2CF9AE}" pid="83" name="ARPS_262">
    <vt:lpwstr>1:NARFLfn</vt:lpwstr>
  </property>
  <property fmtid="{D5CDD505-2E9C-101B-9397-08002B2CF9AE}" pid="84" name="ARPS_263">
    <vt:lpwstr>1:NARFLfn.py</vt:lpwstr>
  </property>
  <property fmtid="{D5CDD505-2E9C-101B-9397-08002B2CF9AE}" pid="85" name="ARPS_264">
    <vt:lpwstr>1:NARFLfn.py2</vt:lpwstr>
  </property>
  <property fmtid="{D5CDD505-2E9C-101B-9397-08002B2CF9AE}" pid="86" name="ARPS_265">
    <vt:lpwstr>1:FundTgtFN</vt:lpwstr>
  </property>
  <property fmtid="{D5CDD505-2E9C-101B-9397-08002B2CF9AE}" pid="87" name="ARPS_266">
    <vt:lpwstr>1:FundTgtFN.py</vt:lpwstr>
  </property>
  <property fmtid="{D5CDD505-2E9C-101B-9397-08002B2CF9AE}" pid="88" name="ARPS_267">
    <vt:lpwstr>1:FundTgtFN.py2</vt:lpwstr>
  </property>
  <property fmtid="{D5CDD505-2E9C-101B-9397-08002B2CF9AE}" pid="89" name="ARPS_268">
    <vt:lpwstr>1:FTAPfn</vt:lpwstr>
  </property>
  <property fmtid="{D5CDD505-2E9C-101B-9397-08002B2CF9AE}" pid="90" name="ARPS_269">
    <vt:lpwstr>1:FTAPfn.py</vt:lpwstr>
  </property>
  <property fmtid="{D5CDD505-2E9C-101B-9397-08002B2CF9AE}" pid="91" name="ARPS_270">
    <vt:lpwstr>1:FTAPfn.py2</vt:lpwstr>
  </property>
  <property fmtid="{D5CDD505-2E9C-101B-9397-08002B2CF9AE}" pid="92" name="ARPS_30">
    <vt:lpwstr>1:ValYr</vt:lpwstr>
  </property>
  <property fmtid="{D5CDD505-2E9C-101B-9397-08002B2CF9AE}" pid="93" name="ARPS_31">
    <vt:lpwstr>1:ValYr.py</vt:lpwstr>
  </property>
  <property fmtid="{D5CDD505-2E9C-101B-9397-08002B2CF9AE}" pid="94" name="ARPS_271">
    <vt:lpwstr>1:ValDate</vt:lpwstr>
  </property>
  <property fmtid="{D5CDD505-2E9C-101B-9397-08002B2CF9AE}" pid="95" name="ARPS_272">
    <vt:lpwstr>1:ValDate.py</vt:lpwstr>
  </property>
  <property fmtid="{D5CDD505-2E9C-101B-9397-08002B2CF9AE}" pid="96" name="ARPS_273">
    <vt:lpwstr>1:AVAfn</vt:lpwstr>
  </property>
  <property fmtid="{D5CDD505-2E9C-101B-9397-08002B2CF9AE}" pid="97" name="ARPS_274">
    <vt:lpwstr>1:AVAfn.py</vt:lpwstr>
  </property>
  <property fmtid="{D5CDD505-2E9C-101B-9397-08002B2CF9AE}" pid="98" name="ARPS_275">
    <vt:lpwstr>1:FSCBAWfn</vt:lpwstr>
  </property>
  <property fmtid="{D5CDD505-2E9C-101B-9397-08002B2CF9AE}" pid="99" name="ARPS_276">
    <vt:lpwstr>1:FSCBAWfn.py</vt:lpwstr>
  </property>
  <property fmtid="{D5CDD505-2E9C-101B-9397-08002B2CF9AE}" pid="100" name="ARPS_277">
    <vt:lpwstr>1:PFBAWfn</vt:lpwstr>
  </property>
  <property fmtid="{D5CDD505-2E9C-101B-9397-08002B2CF9AE}" pid="101" name="ARPS_278">
    <vt:lpwstr>1:PFBAWfn.py</vt:lpwstr>
  </property>
  <property fmtid="{D5CDD505-2E9C-101B-9397-08002B2CF9AE}" pid="102" name="ARPS_279">
    <vt:lpwstr>1:AdjAssetsFN</vt:lpwstr>
  </property>
  <property fmtid="{D5CDD505-2E9C-101B-9397-08002B2CF9AE}" pid="103" name="ARPS_280">
    <vt:lpwstr>1:AdjAssetsFN.py</vt:lpwstr>
  </property>
  <property fmtid="{D5CDD505-2E9C-101B-9397-08002B2CF9AE}" pid="104" name="ARPS_281">
    <vt:lpwstr>1:NARFLfn</vt:lpwstr>
  </property>
  <property fmtid="{D5CDD505-2E9C-101B-9397-08002B2CF9AE}" pid="105" name="ARPS_282">
    <vt:lpwstr>1:NARFLfn.py</vt:lpwstr>
  </property>
  <property fmtid="{D5CDD505-2E9C-101B-9397-08002B2CF9AE}" pid="106" name="ARPS_283">
    <vt:lpwstr>1:FundTgtFN</vt:lpwstr>
  </property>
  <property fmtid="{D5CDD505-2E9C-101B-9397-08002B2CF9AE}" pid="107" name="ARPS_284">
    <vt:lpwstr>1:FundTgtFN.py</vt:lpwstr>
  </property>
  <property fmtid="{D5CDD505-2E9C-101B-9397-08002B2CF9AE}" pid="108" name="ARPS_285">
    <vt:lpwstr>1:FTAPfn</vt:lpwstr>
  </property>
  <property fmtid="{D5CDD505-2E9C-101B-9397-08002B2CF9AE}" pid="109" name="ARPS_286">
    <vt:lpwstr>1:FTAPfn.py</vt:lpwstr>
  </property>
  <property fmtid="{D5CDD505-2E9C-101B-9397-08002B2CF9AE}" pid="110" name="ARPS_32">
    <vt:lpwstr>1:ValYr</vt:lpwstr>
  </property>
  <property fmtid="{D5CDD505-2E9C-101B-9397-08002B2CF9AE}" pid="111" name="ARPS_287">
    <vt:lpwstr>1:ValDate</vt:lpwstr>
  </property>
  <property fmtid="{D5CDD505-2E9C-101B-9397-08002B2CF9AE}" pid="112" name="ARPS_288">
    <vt:lpwstr>1:AVAfn</vt:lpwstr>
  </property>
  <property fmtid="{D5CDD505-2E9C-101B-9397-08002B2CF9AE}" pid="113" name="ARPS_289">
    <vt:lpwstr>1:FSCBAWfn</vt:lpwstr>
  </property>
  <property fmtid="{D5CDD505-2E9C-101B-9397-08002B2CF9AE}" pid="114" name="ARPS_290">
    <vt:lpwstr>1:PFBAWfn</vt:lpwstr>
  </property>
  <property fmtid="{D5CDD505-2E9C-101B-9397-08002B2CF9AE}" pid="115" name="ARPS_291">
    <vt:lpwstr>1:AdjAssetsFN</vt:lpwstr>
  </property>
  <property fmtid="{D5CDD505-2E9C-101B-9397-08002B2CF9AE}" pid="116" name="ARPS_292">
    <vt:lpwstr>1:NARFLfn</vt:lpwstr>
  </property>
  <property fmtid="{D5CDD505-2E9C-101B-9397-08002B2CF9AE}" pid="117" name="ARPS_293">
    <vt:lpwstr>1:FundTgtFN</vt:lpwstr>
  </property>
  <property fmtid="{D5CDD505-2E9C-101B-9397-08002B2CF9AE}" pid="118" name="ARPS_294">
    <vt:lpwstr>1:FTAPfn</vt:lpwstr>
  </property>
  <property fmtid="{D5CDD505-2E9C-101B-9397-08002B2CF9AE}" pid="119" name="ARPS_45">
    <vt:lpwstr>1:ValYr</vt:lpwstr>
  </property>
  <property fmtid="{D5CDD505-2E9C-101B-9397-08002B2CF9AE}" pid="120" name="ARPS_46">
    <vt:lpwstr>1:ValYr.py</vt:lpwstr>
  </property>
  <property fmtid="{D5CDD505-2E9C-101B-9397-08002B2CF9AE}" pid="121" name="ARPS_47">
    <vt:lpwstr>1:ValYr.py2</vt:lpwstr>
  </property>
  <property fmtid="{D5CDD505-2E9C-101B-9397-08002B2CF9AE}" pid="122" name="ARPS_48">
    <vt:lpwstr>1:ValDate</vt:lpwstr>
  </property>
  <property fmtid="{D5CDD505-2E9C-101B-9397-08002B2CF9AE}" pid="123" name="ARPS_49">
    <vt:lpwstr>1:ValDate.py</vt:lpwstr>
  </property>
  <property fmtid="{D5CDD505-2E9C-101B-9397-08002B2CF9AE}" pid="124" name="ARPS_50">
    <vt:lpwstr>1:ValDate.py2</vt:lpwstr>
  </property>
  <property fmtid="{D5CDD505-2E9C-101B-9397-08002B2CF9AE}" pid="125" name="ARPS_51">
    <vt:lpwstr>1:AVAfn</vt:lpwstr>
  </property>
  <property fmtid="{D5CDD505-2E9C-101B-9397-08002B2CF9AE}" pid="126" name="ARPS_52">
    <vt:lpwstr>1:AVAfn.py</vt:lpwstr>
  </property>
  <property fmtid="{D5CDD505-2E9C-101B-9397-08002B2CF9AE}" pid="127" name="ARPS_53">
    <vt:lpwstr>1:AVAfn.py2</vt:lpwstr>
  </property>
  <property fmtid="{D5CDD505-2E9C-101B-9397-08002B2CF9AE}" pid="128" name="ARPS_54">
    <vt:lpwstr>1:FSCBAWfn</vt:lpwstr>
  </property>
  <property fmtid="{D5CDD505-2E9C-101B-9397-08002B2CF9AE}" pid="129" name="ARPS_55">
    <vt:lpwstr>1:FSCBAWfn.py</vt:lpwstr>
  </property>
  <property fmtid="{D5CDD505-2E9C-101B-9397-08002B2CF9AE}" pid="130" name="ARPS_56">
    <vt:lpwstr>1:FSCBAWfn.py2</vt:lpwstr>
  </property>
  <property fmtid="{D5CDD505-2E9C-101B-9397-08002B2CF9AE}" pid="131" name="ARPS_57">
    <vt:lpwstr>1:PFBAWfn</vt:lpwstr>
  </property>
  <property fmtid="{D5CDD505-2E9C-101B-9397-08002B2CF9AE}" pid="132" name="ARPS_58">
    <vt:lpwstr>1:PFBAWfn.py</vt:lpwstr>
  </property>
  <property fmtid="{D5CDD505-2E9C-101B-9397-08002B2CF9AE}" pid="133" name="ARPS_59">
    <vt:lpwstr>1:PFBAWfn.py2</vt:lpwstr>
  </property>
  <property fmtid="{D5CDD505-2E9C-101B-9397-08002B2CF9AE}" pid="134" name="ARPS_60">
    <vt:lpwstr>1:AdjAssetsFN</vt:lpwstr>
  </property>
  <property fmtid="{D5CDD505-2E9C-101B-9397-08002B2CF9AE}" pid="135" name="ARPS_61">
    <vt:lpwstr>1:AdjAssetsFN.py</vt:lpwstr>
  </property>
  <property fmtid="{D5CDD505-2E9C-101B-9397-08002B2CF9AE}" pid="136" name="ARPS_62">
    <vt:lpwstr>1:AdjAssetsFN.py2</vt:lpwstr>
  </property>
  <property fmtid="{D5CDD505-2E9C-101B-9397-08002B2CF9AE}" pid="137" name="ARPS_63">
    <vt:lpwstr>1:NARFLfn</vt:lpwstr>
  </property>
  <property fmtid="{D5CDD505-2E9C-101B-9397-08002B2CF9AE}" pid="138" name="ARPS_64">
    <vt:lpwstr>1:NARFLfn.py</vt:lpwstr>
  </property>
  <property fmtid="{D5CDD505-2E9C-101B-9397-08002B2CF9AE}" pid="139" name="ARPS_65">
    <vt:lpwstr>1:NARFLfn.py2</vt:lpwstr>
  </property>
  <property fmtid="{D5CDD505-2E9C-101B-9397-08002B2CF9AE}" pid="140" name="ARPS_66">
    <vt:lpwstr>1:FTAPfn</vt:lpwstr>
  </property>
  <property fmtid="{D5CDD505-2E9C-101B-9397-08002B2CF9AE}" pid="141" name="ARPS_67">
    <vt:lpwstr>1:FTAPfn.py</vt:lpwstr>
  </property>
  <property fmtid="{D5CDD505-2E9C-101B-9397-08002B2CF9AE}" pid="142" name="ARPS_68">
    <vt:lpwstr>1:FTAPfn.py2</vt:lpwstr>
  </property>
  <property fmtid="{D5CDD505-2E9C-101B-9397-08002B2CF9AE}" pid="143" name="ARPS_69">
    <vt:lpwstr>1:ValYr</vt:lpwstr>
  </property>
  <property fmtid="{D5CDD505-2E9C-101B-9397-08002B2CF9AE}" pid="144" name="ARPS_70">
    <vt:lpwstr>1:ValYr.py</vt:lpwstr>
  </property>
  <property fmtid="{D5CDD505-2E9C-101B-9397-08002B2CF9AE}" pid="145" name="ARPS_71">
    <vt:lpwstr>1:ValDate</vt:lpwstr>
  </property>
  <property fmtid="{D5CDD505-2E9C-101B-9397-08002B2CF9AE}" pid="146" name="ARPS_72">
    <vt:lpwstr>1:ValDate.py</vt:lpwstr>
  </property>
  <property fmtid="{D5CDD505-2E9C-101B-9397-08002B2CF9AE}" pid="147" name="ARPS_73">
    <vt:lpwstr>1:AVAfn</vt:lpwstr>
  </property>
  <property fmtid="{D5CDD505-2E9C-101B-9397-08002B2CF9AE}" pid="148" name="ARPS_74">
    <vt:lpwstr>1:AVAfn.py</vt:lpwstr>
  </property>
  <property fmtid="{D5CDD505-2E9C-101B-9397-08002B2CF9AE}" pid="149" name="ARPS_75">
    <vt:lpwstr>1:FSCBAWfn</vt:lpwstr>
  </property>
  <property fmtid="{D5CDD505-2E9C-101B-9397-08002B2CF9AE}" pid="150" name="ARPS_76">
    <vt:lpwstr>1:FSCBAWfn.py</vt:lpwstr>
  </property>
  <property fmtid="{D5CDD505-2E9C-101B-9397-08002B2CF9AE}" pid="151" name="ARPS_77">
    <vt:lpwstr>1:PFBAWfn</vt:lpwstr>
  </property>
  <property fmtid="{D5CDD505-2E9C-101B-9397-08002B2CF9AE}" pid="152" name="ARPS_78">
    <vt:lpwstr>1:PFBAWfn.py</vt:lpwstr>
  </property>
  <property fmtid="{D5CDD505-2E9C-101B-9397-08002B2CF9AE}" pid="153" name="ARPS_79">
    <vt:lpwstr>1:AdjAssetsFN</vt:lpwstr>
  </property>
  <property fmtid="{D5CDD505-2E9C-101B-9397-08002B2CF9AE}" pid="154" name="ARPS_82">
    <vt:lpwstr>1:AdjAssetsFN.py</vt:lpwstr>
  </property>
  <property fmtid="{D5CDD505-2E9C-101B-9397-08002B2CF9AE}" pid="155" name="ARPS_83">
    <vt:lpwstr>1:NARFLfn</vt:lpwstr>
  </property>
  <property fmtid="{D5CDD505-2E9C-101B-9397-08002B2CF9AE}" pid="156" name="ARPS_84">
    <vt:lpwstr>1:NARFLfn.py</vt:lpwstr>
  </property>
  <property fmtid="{D5CDD505-2E9C-101B-9397-08002B2CF9AE}" pid="157" name="ARPS_85">
    <vt:lpwstr>1:FTAPfn</vt:lpwstr>
  </property>
  <property fmtid="{D5CDD505-2E9C-101B-9397-08002B2CF9AE}" pid="158" name="ARPS_86">
    <vt:lpwstr>1:FTAPfn.py</vt:lpwstr>
  </property>
  <property fmtid="{D5CDD505-2E9C-101B-9397-08002B2CF9AE}" pid="159" name="ARPS_87">
    <vt:lpwstr>1:ValYr</vt:lpwstr>
  </property>
  <property fmtid="{D5CDD505-2E9C-101B-9397-08002B2CF9AE}" pid="160" name="ARPS_88">
    <vt:lpwstr>1:ValDate</vt:lpwstr>
  </property>
  <property fmtid="{D5CDD505-2E9C-101B-9397-08002B2CF9AE}" pid="161" name="ARPS_89">
    <vt:lpwstr>1:AVAfn</vt:lpwstr>
  </property>
  <property fmtid="{D5CDD505-2E9C-101B-9397-08002B2CF9AE}" pid="162" name="ARPS_90">
    <vt:lpwstr>1:FSCBAWfn</vt:lpwstr>
  </property>
  <property fmtid="{D5CDD505-2E9C-101B-9397-08002B2CF9AE}" pid="163" name="ARPS_91">
    <vt:lpwstr>1:PFBAWfn</vt:lpwstr>
  </property>
  <property fmtid="{D5CDD505-2E9C-101B-9397-08002B2CF9AE}" pid="164" name="ARPS_92">
    <vt:lpwstr>1:AdjAssetsFN</vt:lpwstr>
  </property>
  <property fmtid="{D5CDD505-2E9C-101B-9397-08002B2CF9AE}" pid="165" name="ARPS_93">
    <vt:lpwstr>1:NARFLfn</vt:lpwstr>
  </property>
  <property fmtid="{D5CDD505-2E9C-101B-9397-08002B2CF9AE}" pid="166" name="ARPS_94">
    <vt:lpwstr>1:FTAPfn</vt:lpwstr>
  </property>
  <property fmtid="{D5CDD505-2E9C-101B-9397-08002B2CF9AE}" pid="167" name="ARPS_295">
    <vt:lpwstr>ValDate.py</vt:lpwstr>
  </property>
  <property fmtid="{D5CDD505-2E9C-101B-9397-08002B2CF9AE}" pid="168" name="ARPS_33">
    <vt:lpwstr>1:ValYr</vt:lpwstr>
  </property>
  <property fmtid="{D5CDD505-2E9C-101B-9397-08002B2CF9AE}" pid="169" name="ARPS_34">
    <vt:lpwstr>1:ValYr.py</vt:lpwstr>
  </property>
  <property fmtid="{D5CDD505-2E9C-101B-9397-08002B2CF9AE}" pid="170" name="ARPS_35">
    <vt:lpwstr>1:ValYr</vt:lpwstr>
  </property>
  <property fmtid="{D5CDD505-2E9C-101B-9397-08002B2CF9AE}" pid="171" name="ARPS_36">
    <vt:lpwstr>1:ValYr.py2</vt:lpwstr>
  </property>
  <property fmtid="{D5CDD505-2E9C-101B-9397-08002B2CF9AE}" pid="172" name="ARPS_37">
    <vt:lpwstr>1:ValYr.py</vt:lpwstr>
  </property>
  <property fmtid="{D5CDD505-2E9C-101B-9397-08002B2CF9AE}" pid="173" name="ARPS_38">
    <vt:lpwstr>1:ValYr</vt:lpwstr>
  </property>
  <property fmtid="{D5CDD505-2E9C-101B-9397-08002B2CF9AE}" pid="174" name="ARPS_296">
    <vt:lpwstr>1:AtRiskStatus</vt:lpwstr>
  </property>
  <property fmtid="{D5CDD505-2E9C-101B-9397-08002B2CF9AE}" pid="175" name="ARPS_297">
    <vt:lpwstr>1:ValDateEOY</vt:lpwstr>
  </property>
  <property fmtid="{D5CDD505-2E9C-101B-9397-08002B2CF9AE}" pid="176" name="ARPS_298">
    <vt:lpwstr>1:FVAEOYAcc</vt:lpwstr>
  </property>
  <property fmtid="{D5CDD505-2E9C-101B-9397-08002B2CF9AE}" pid="177" name="ARPS_299">
    <vt:lpwstr>1:FundTgtEOY</vt:lpwstr>
  </property>
  <property fmtid="{D5CDD505-2E9C-101B-9397-08002B2CF9AE}" pid="178" name="ARPS_300">
    <vt:lpwstr>1:CountTotal</vt:lpwstr>
  </property>
  <property fmtid="{D5CDD505-2E9C-101B-9397-08002B2CF9AE}" pid="179" name="ARPS_301">
    <vt:lpwstr>1:CountActTotal</vt:lpwstr>
  </property>
  <property fmtid="{D5CDD505-2E9C-101B-9397-08002B2CF9AE}" pid="180" name="ARPS_302">
    <vt:lpwstr>1:CountRet</vt:lpwstr>
  </property>
  <property fmtid="{D5CDD505-2E9C-101B-9397-08002B2CF9AE}" pid="181" name="ARPS_303">
    <vt:lpwstr>1:CountTV</vt:lpwstr>
  </property>
  <property fmtid="{D5CDD505-2E9C-101B-9397-08002B2CF9AE}" pid="182" name="ARPS_304">
    <vt:lpwstr>1:CompanyName</vt:lpwstr>
  </property>
  <property fmtid="{D5CDD505-2E9C-101B-9397-08002B2CF9AE}" pid="183" name="ARPS_305">
    <vt:lpwstr>FundPolicyFN</vt:lpwstr>
  </property>
  <property fmtid="{D5CDD505-2E9C-101B-9397-08002B2CF9AE}" pid="184" name="ARPS_306">
    <vt:lpwstr>1:InvPolicyFN</vt:lpwstr>
  </property>
  <property fmtid="{D5CDD505-2E9C-101B-9397-08002B2CF9AE}" pid="185" name="ARPS_307">
    <vt:lpwstr>1:L1FN</vt:lpwstr>
  </property>
  <property fmtid="{D5CDD505-2E9C-101B-9397-08002B2CF9AE}" pid="186" name="ARPS_308">
    <vt:lpwstr>1:L2FN</vt:lpwstr>
  </property>
  <property fmtid="{D5CDD505-2E9C-101B-9397-08002B2CF9AE}" pid="187" name="ARPS_309">
    <vt:lpwstr>1:L3aFN</vt:lpwstr>
  </property>
  <property fmtid="{D5CDD505-2E9C-101B-9397-08002B2CF9AE}" pid="188" name="ARPS_310">
    <vt:lpwstr>1:L3bFN</vt:lpwstr>
  </property>
  <property fmtid="{D5CDD505-2E9C-101B-9397-08002B2CF9AE}" pid="189" name="ARPS_311">
    <vt:lpwstr>1:L4aFN</vt:lpwstr>
  </property>
  <property fmtid="{D5CDD505-2E9C-101B-9397-08002B2CF9AE}" pid="190" name="ARPS_312">
    <vt:lpwstr>1:L4bFN</vt:lpwstr>
  </property>
  <property fmtid="{D5CDD505-2E9C-101B-9397-08002B2CF9AE}" pid="191" name="ARPS_313">
    <vt:lpwstr>1:L5FN</vt:lpwstr>
  </property>
  <property fmtid="{D5CDD505-2E9C-101B-9397-08002B2CF9AE}" pid="192" name="ARPS_314">
    <vt:lpwstr>1:L6FN</vt:lpwstr>
  </property>
  <property fmtid="{D5CDD505-2E9C-101B-9397-08002B2CF9AE}" pid="193" name="ARPS_315">
    <vt:lpwstr>1:L7FN</vt:lpwstr>
  </property>
  <property fmtid="{D5CDD505-2E9C-101B-9397-08002B2CF9AE}" pid="194" name="ARPS_316">
    <vt:lpwstr>1:L8FN</vt:lpwstr>
  </property>
  <property fmtid="{D5CDD505-2E9C-101B-9397-08002B2CF9AE}" pid="195" name="ARPS_317">
    <vt:lpwstr>1:L9FN</vt:lpwstr>
  </property>
  <property fmtid="{D5CDD505-2E9C-101B-9397-08002B2CF9AE}" pid="196" name="ARPS_318">
    <vt:lpwstr>1:L10FN</vt:lpwstr>
  </property>
  <property fmtid="{D5CDD505-2E9C-101B-9397-08002B2CF9AE}" pid="197" name="ARPS_319">
    <vt:lpwstr>1:L11FN</vt:lpwstr>
  </property>
  <property fmtid="{D5CDD505-2E9C-101B-9397-08002B2CF9AE}" pid="198" name="ARPS_320">
    <vt:lpwstr>1:L12FN</vt:lpwstr>
  </property>
  <property fmtid="{D5CDD505-2E9C-101B-9397-08002B2CF9AE}" pid="199" name="ARPS_321">
    <vt:lpwstr>1:L13FN</vt:lpwstr>
  </property>
  <property fmtid="{D5CDD505-2E9C-101B-9397-08002B2CF9AE}" pid="200" name="ARPS_322">
    <vt:lpwstr>1:L14FN</vt:lpwstr>
  </property>
  <property fmtid="{D5CDD505-2E9C-101B-9397-08002B2CF9AE}" pid="201" name="ARPS_323">
    <vt:lpwstr>1:L15aFN</vt:lpwstr>
  </property>
  <property fmtid="{D5CDD505-2E9C-101B-9397-08002B2CF9AE}" pid="202" name="ARPS_324">
    <vt:lpwstr>1:L15bFN</vt:lpwstr>
  </property>
  <property fmtid="{D5CDD505-2E9C-101B-9397-08002B2CF9AE}" pid="203" name="ARPS_325">
    <vt:lpwstr>1:L16FN</vt:lpwstr>
  </property>
  <property fmtid="{D5CDD505-2E9C-101B-9397-08002B2CF9AE}" pid="204" name="ARPS_326">
    <vt:lpwstr>1:L17FN</vt:lpwstr>
  </property>
  <property fmtid="{D5CDD505-2E9C-101B-9397-08002B2CF9AE}" pid="205" name="ARPS_327">
    <vt:lpwstr>InvContactName</vt:lpwstr>
  </property>
  <property fmtid="{D5CDD505-2E9C-101B-9397-08002B2CF9AE}" pid="206" name="ARPS_328">
    <vt:lpwstr>InvContactInfo</vt:lpwstr>
  </property>
  <property fmtid="{D5CDD505-2E9C-101B-9397-08002B2CF9AE}" pid="207" name="ARPS_14">
    <vt:lpwstr>1:A2L1FN</vt:lpwstr>
  </property>
  <property fmtid="{D5CDD505-2E9C-101B-9397-08002B2CF9AE}" pid="208" name="ARPS_15">
    <vt:lpwstr>1:A2L2FN</vt:lpwstr>
  </property>
  <property fmtid="{D5CDD505-2E9C-101B-9397-08002B2CF9AE}" pid="209" name="ARPS_16">
    <vt:lpwstr>1:A2L3FN</vt:lpwstr>
  </property>
  <property fmtid="{D5CDD505-2E9C-101B-9397-08002B2CF9AE}" pid="210" name="ARPS_17">
    <vt:lpwstr>1:A2L4FN</vt:lpwstr>
  </property>
  <property fmtid="{D5CDD505-2E9C-101B-9397-08002B2CF9AE}" pid="211" name="ARPS_20">
    <vt:lpwstr>1:A2L5FN</vt:lpwstr>
  </property>
  <property fmtid="{D5CDD505-2E9C-101B-9397-08002B2CF9AE}" pid="212" name="ARPS_329">
    <vt:lpwstr>ValDate.ny</vt:lpwstr>
  </property>
  <property fmtid="{D5CDD505-2E9C-101B-9397-08002B2CF9AE}" pid="213" name="ARPS_330">
    <vt:lpwstr>ValDateEOY.ny</vt:lpwstr>
  </property>
  <property fmtid="{D5CDD505-2E9C-101B-9397-08002B2CF9AE}" pid="214" name="ARPS_331">
    <vt:lpwstr>EventEffectFN</vt:lpwstr>
  </property>
  <property fmtid="{D5CDD505-2E9C-101B-9397-08002B2CF9AE}" pid="215" name="ARPS_332">
    <vt:lpwstr>CompanyWebSiteMsg</vt:lpwstr>
  </property>
  <property fmtid="{D5CDD505-2E9C-101B-9397-08002B2CF9AE}" pid="216" name="ARPS_95">
    <vt:lpwstr>1:Valdate</vt:lpwstr>
  </property>
  <property fmtid="{D5CDD505-2E9C-101B-9397-08002B2CF9AE}" pid="217" name="ARPS_96">
    <vt:lpwstr>1:Form5500Type</vt:lpwstr>
  </property>
  <property fmtid="{D5CDD505-2E9C-101B-9397-08002B2CF9AE}" pid="218" name="ARPS_97">
    <vt:lpwstr>1:ValYr</vt:lpwstr>
  </property>
  <property fmtid="{D5CDD505-2E9C-101B-9397-08002B2CF9AE}" pid="219" name="ARPS_39">
    <vt:lpwstr>1:ValYr.ny</vt:lpwstr>
  </property>
  <property fmtid="{D5CDD505-2E9C-101B-9397-08002B2CF9AE}" pid="220" name="ARPS_40">
    <vt:lpwstr>1:pbgclim.ny</vt:lpwstr>
  </property>
  <property fmtid="{D5CDD505-2E9C-101B-9397-08002B2CF9AE}" pid="221" name="ARPS_41">
    <vt:lpwstr>1:pbgclimann.ny</vt:lpwstr>
  </property>
  <property fmtid="{D5CDD505-2E9C-101B-9397-08002B2CF9AE}" pid="222" name="ARPS_333">
    <vt:lpwstr>1:PlanSponsorName_forAFN</vt:lpwstr>
  </property>
  <property fmtid="{D5CDD505-2E9C-101B-9397-08002B2CF9AE}" pid="223" name="ARPS_334">
    <vt:lpwstr>PlanAdminNames</vt:lpwstr>
  </property>
  <property fmtid="{D5CDD505-2E9C-101B-9397-08002B2CF9AE}" pid="224" name="ARPS_335">
    <vt:lpwstr>PlanAdminContactInfo</vt:lpwstr>
  </property>
  <property fmtid="{D5CDD505-2E9C-101B-9397-08002B2CF9AE}" pid="225" name="ARPS_336">
    <vt:lpwstr>1:PlanNumber</vt:lpwstr>
  </property>
  <property fmtid="{D5CDD505-2E9C-101B-9397-08002B2CF9AE}" pid="226" name="ARPS_337">
    <vt:lpwstr>1:PlanSponsorName_forAFN</vt:lpwstr>
  </property>
  <property fmtid="{D5CDD505-2E9C-101B-9397-08002B2CF9AE}" pid="227" name="ARPS_338">
    <vt:lpwstr>1:EIN</vt:lpwstr>
  </property>
  <property fmtid="{D5CDD505-2E9C-101B-9397-08002B2CF9AE}" pid="228" name="ARPS_80">
    <vt:lpwstr>ValDateEOY</vt:lpwstr>
  </property>
  <property fmtid="{D5CDD505-2E9C-101B-9397-08002B2CF9AE}" pid="229" name="ARPS_42">
    <vt:lpwstr>ValYr</vt:lpwstr>
  </property>
  <property fmtid="{D5CDD505-2E9C-101B-9397-08002B2CF9AE}" pid="230" name="ARPS_18">
    <vt:lpwstr>1:AddlReqCtn</vt:lpwstr>
  </property>
  <property fmtid="{D5CDD505-2E9C-101B-9397-08002B2CF9AE}" pid="231" name="ARPS_43">
    <vt:lpwstr>ValYr</vt:lpwstr>
  </property>
  <property fmtid="{D5CDD505-2E9C-101B-9397-08002B2CF9AE}" pid="232" name="ARPS_81">
    <vt:lpwstr>CtnDueDate</vt:lpwstr>
  </property>
  <property fmtid="{D5CDD505-2E9C-101B-9397-08002B2CF9AE}" pid="233" name="ARPS_19">
    <vt:lpwstr>1:PlanNameFormal</vt:lpwstr>
  </property>
  <property fmtid="{D5CDD505-2E9C-101B-9397-08002B2CF9AE}" pid="234" name="ARPS_2">
    <vt:lpwstr>1:YPRWebSite</vt:lpwstr>
  </property>
  <property fmtid="{D5CDD505-2E9C-101B-9397-08002B2CF9AE}" pid="235" name="ARPS_3">
    <vt:lpwstr>1:CallCenterName</vt:lpwstr>
  </property>
  <property fmtid="{D5CDD505-2E9C-101B-9397-08002B2CF9AE}" pid="236" name="ARPS_4">
    <vt:lpwstr>1:CallCenterPhone</vt:lpwstr>
  </property>
  <property fmtid="{D5CDD505-2E9C-101B-9397-08002B2CF9AE}" pid="237" name="ARPS_5">
    <vt:lpwstr>1:CallCenterAvail</vt:lpwstr>
  </property>
  <property fmtid="{D5CDD505-2E9C-101B-9397-08002B2CF9AE}" pid="238" name="ARPS_6">
    <vt:lpwstr>1:CallCenterName</vt:lpwstr>
  </property>
  <property fmtid="{D5CDD505-2E9C-101B-9397-08002B2CF9AE}" pid="239" name="ARPS_7">
    <vt:lpwstr>1:CallCenterPhone</vt:lpwstr>
  </property>
  <property fmtid="{D5CDD505-2E9C-101B-9397-08002B2CF9AE}" pid="240" name="ARPS_8">
    <vt:lpwstr>1:CallCenterAvail</vt:lpwstr>
  </property>
  <property fmtid="{D5CDD505-2E9C-101B-9397-08002B2CF9AE}" pid="241" name="ARPS_9">
    <vt:lpwstr>1:YBRInfoFN</vt:lpwstr>
  </property>
  <property fmtid="{D5CDD505-2E9C-101B-9397-08002B2CF9AE}" pid="242" name="ARPS_10">
    <vt:lpwstr>1:CallCenterName</vt:lpwstr>
  </property>
  <property fmtid="{D5CDD505-2E9C-101B-9397-08002B2CF9AE}" pid="243" name="ARPS_11">
    <vt:lpwstr>1:CallCenterPhone</vt:lpwstr>
  </property>
  <property fmtid="{D5CDD505-2E9C-101B-9397-08002B2CF9AE}" pid="244" name="ARPS_12">
    <vt:lpwstr>1:OutsideUSInfo</vt:lpwstr>
  </property>
  <property fmtid="{D5CDD505-2E9C-101B-9397-08002B2CF9AE}" pid="245" name="ARPS_13">
    <vt:lpwstr>1:CallCenterAvail</vt:lpwstr>
  </property>
  <property fmtid="{D5CDD505-2E9C-101B-9397-08002B2CF9AE}" pid="246" name="Metadata Tag">
    <vt:lpwstr>91;#Annual Funding Notice|9ce1b207-4a2c-4b23-972b-a8a46982c46b</vt:lpwstr>
  </property>
  <property fmtid="{D5CDD505-2E9C-101B-9397-08002B2CF9AE}" pid="247" name="Metadata_x0020_Tag">
    <vt:lpwstr>91;#Annual Funding Notice|9ce1b207-4a2c-4b23-972b-a8a46982c46b</vt:lpwstr>
  </property>
  <property fmtid="{D5CDD505-2E9C-101B-9397-08002B2CF9AE}" pid="248" name="ContentTypeId">
    <vt:lpwstr>0x010100B03B0DB8D96A2847B161BE656C64BEEC</vt:lpwstr>
  </property>
  <property fmtid="{D5CDD505-2E9C-101B-9397-08002B2CF9AE}" pid="249" name="TaxCatchAll">
    <vt:lpwstr>91;#Annual Funding Notice|9ce1b207-4a2c-4b23-972b-a8a46982c46b</vt:lpwstr>
  </property>
  <property fmtid="{D5CDD505-2E9C-101B-9397-08002B2CF9AE}" pid="250" name="MSIP_Label_875a5b46-6a40-4ffc-90be-3fcbddbfaaf1_Removed">
    <vt:lpwstr>False</vt:lpwstr>
  </property>
  <property fmtid="{D5CDD505-2E9C-101B-9397-08002B2CF9AE}" pid="251" name="MSIP_Label_875a5b46-6a40-4ffc-90be-3fcbddbfaaf1_Parent">
    <vt:lpwstr>fa45f789-1f0b-4e07-bb5a-5b7474c73833</vt:lpwstr>
  </property>
  <property fmtid="{D5CDD505-2E9C-101B-9397-08002B2CF9AE}" pid="252" name="MSIP_Label_875a5b46-6a40-4ffc-90be-3fcbddbfaaf1_Extended_MSFT_Method">
    <vt:lpwstr>Standard</vt:lpwstr>
  </property>
  <property fmtid="{D5CDD505-2E9C-101B-9397-08002B2CF9AE}" pid="253" name="MSIP_Label_fa45f789-1f0b-4e07-bb5a-5b7474c73833_Enabled">
    <vt:lpwstr>True</vt:lpwstr>
  </property>
  <property fmtid="{D5CDD505-2E9C-101B-9397-08002B2CF9AE}" pid="254" name="MSIP_Label_fa45f789-1f0b-4e07-bb5a-5b7474c73833_SiteId">
    <vt:lpwstr>94cfddbc-0627-494a-ad7a-29aea3aea832</vt:lpwstr>
  </property>
  <property fmtid="{D5CDD505-2E9C-101B-9397-08002B2CF9AE}" pid="255" name="MSIP_Label_fa45f789-1f0b-4e07-bb5a-5b7474c73833_SetDate">
    <vt:lpwstr>2025-04-04T20:19:11Z</vt:lpwstr>
  </property>
  <property fmtid="{D5CDD505-2E9C-101B-9397-08002B2CF9AE}" pid="256" name="MSIP_Label_fa45f789-1f0b-4e07-bb5a-5b7474c73833_Name">
    <vt:lpwstr>CONFIDENTIAL</vt:lpwstr>
  </property>
  <property fmtid="{D5CDD505-2E9C-101B-9397-08002B2CF9AE}" pid="257" name="MSIP_Label_fa45f789-1f0b-4e07-bb5a-5b7474c73833_ActionId">
    <vt:lpwstr>d4340882-7d5a-47bd-b367-4dbe2a38c991</vt:lpwstr>
  </property>
  <property fmtid="{D5CDD505-2E9C-101B-9397-08002B2CF9AE}" pid="258" name="MSIP_Label_fa45f789-1f0b-4e07-bb5a-5b7474c73833_Extended_MSFT_Method">
    <vt:lpwstr>Standard</vt:lpwstr>
  </property>
  <property fmtid="{D5CDD505-2E9C-101B-9397-08002B2CF9AE}" pid="259" name="Sensitivity">
    <vt:lpwstr>CONFIDENTIAL \ CONFIDENTIAL CONFIDENTIAL</vt:lpwstr>
  </property>
</Properties>
</file>